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47"/>
      </w:pPr>
      <w:r>
        <w:rPr/>
        <w:drawing>
          <wp:anchor distT="0" distB="0" distL="0" distR="0" allowOverlap="1" layoutInCell="1" locked="0" behindDoc="0" simplePos="0" relativeHeight="15730688">
            <wp:simplePos x="0" y="0"/>
            <wp:positionH relativeFrom="page">
              <wp:posOffset>5854967</wp:posOffset>
            </wp:positionH>
            <wp:positionV relativeFrom="paragraph">
              <wp:posOffset>465</wp:posOffset>
            </wp:positionV>
            <wp:extent cx="810202" cy="37992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10202" cy="379925"/>
                    </a:xfrm>
                    <a:prstGeom prst="rect">
                      <a:avLst/>
                    </a:prstGeom>
                  </pic:spPr>
                </pic:pic>
              </a:graphicData>
            </a:graphic>
          </wp:anchor>
        </w:drawing>
      </w:r>
      <w:r>
        <w:rPr>
          <w:color w:val="365F91"/>
        </w:rPr>
        <w:t>Sarcouncil</w:t>
      </w:r>
      <w:r>
        <w:rPr>
          <w:color w:val="365F91"/>
          <w:spacing w:val="-10"/>
        </w:rPr>
        <w:t> </w:t>
      </w:r>
      <w:r>
        <w:rPr>
          <w:color w:val="365F91"/>
        </w:rPr>
        <w:t>Journal</w:t>
      </w:r>
      <w:r>
        <w:rPr>
          <w:color w:val="365F91"/>
          <w:spacing w:val="-7"/>
        </w:rPr>
        <w:t> </w:t>
      </w:r>
      <w:r>
        <w:rPr>
          <w:color w:val="365F91"/>
        </w:rPr>
        <w:t>of</w:t>
      </w:r>
      <w:r>
        <w:rPr>
          <w:color w:val="365F91"/>
          <w:spacing w:val="-5"/>
        </w:rPr>
        <w:t> </w:t>
      </w:r>
      <w:r>
        <w:rPr>
          <w:color w:val="365F91"/>
        </w:rPr>
        <w:t>Engineering</w:t>
      </w:r>
      <w:r>
        <w:rPr>
          <w:color w:val="365F91"/>
          <w:spacing w:val="-7"/>
        </w:rPr>
        <w:t> </w:t>
      </w:r>
      <w:r>
        <w:rPr>
          <w:color w:val="365F91"/>
        </w:rPr>
        <w:t>and</w:t>
      </w:r>
      <w:r>
        <w:rPr>
          <w:color w:val="365F91"/>
          <w:spacing w:val="-3"/>
        </w:rPr>
        <w:t> </w:t>
      </w:r>
      <w:r>
        <w:rPr>
          <w:color w:val="365F91"/>
        </w:rPr>
        <w:t>Computer</w:t>
      </w:r>
      <w:r>
        <w:rPr>
          <w:color w:val="365F91"/>
          <w:spacing w:val="-4"/>
        </w:rPr>
        <w:t> </w:t>
      </w:r>
      <w:r>
        <w:rPr>
          <w:color w:val="365F91"/>
          <w:spacing w:val="-2"/>
        </w:rPr>
        <w:t>Sciences</w:t>
      </w:r>
    </w:p>
    <w:p>
      <w:pPr>
        <w:pStyle w:val="Heading4"/>
        <w:spacing w:before="140"/>
        <w:ind w:left="230"/>
      </w:pPr>
      <w:r>
        <w:rPr/>
        <w:drawing>
          <wp:anchor distT="0" distB="0" distL="0" distR="0" allowOverlap="1" layoutInCell="1" locked="0" behindDoc="0" simplePos="0" relativeHeight="15731200">
            <wp:simplePos x="0" y="0"/>
            <wp:positionH relativeFrom="page">
              <wp:posOffset>5939297</wp:posOffset>
            </wp:positionH>
            <wp:positionV relativeFrom="paragraph">
              <wp:posOffset>199788</wp:posOffset>
            </wp:positionV>
            <wp:extent cx="830436" cy="1905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30436" cy="190500"/>
                    </a:xfrm>
                    <a:prstGeom prst="rect">
                      <a:avLst/>
                    </a:prstGeom>
                  </pic:spPr>
                </pic:pic>
              </a:graphicData>
            </a:graphic>
          </wp:anchor>
        </w:drawing>
      </w:r>
      <w:r>
        <w:rPr/>
        <w:t>ISSN(Online):</w:t>
      </w:r>
      <w:r>
        <w:rPr>
          <w:spacing w:val="-13"/>
        </w:rPr>
        <w:t> </w:t>
      </w:r>
      <w:r>
        <w:rPr/>
        <w:t>2945-</w:t>
      </w:r>
      <w:r>
        <w:rPr>
          <w:spacing w:val="-4"/>
        </w:rPr>
        <w:t>3585</w:t>
      </w:r>
    </w:p>
    <w:p>
      <w:pPr>
        <w:spacing w:before="172"/>
        <w:ind w:left="232" w:right="0" w:firstLine="0"/>
        <w:jc w:val="left"/>
        <w:rPr>
          <w:sz w:val="21"/>
        </w:rPr>
      </w:pPr>
      <w:r>
        <w:rPr>
          <w:sz w:val="21"/>
        </w:rPr>
        <mc:AlternateContent>
          <mc:Choice Requires="wps">
            <w:drawing>
              <wp:anchor distT="0" distB="0" distL="0" distR="0" allowOverlap="1" layoutInCell="1" locked="0" behindDoc="1" simplePos="0" relativeHeight="487263744">
                <wp:simplePos x="0" y="0"/>
                <wp:positionH relativeFrom="page">
                  <wp:posOffset>730300</wp:posOffset>
                </wp:positionH>
                <wp:positionV relativeFrom="paragraph">
                  <wp:posOffset>142271</wp:posOffset>
                </wp:positionV>
                <wp:extent cx="1047750" cy="1403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47750" cy="140335"/>
                        </a:xfrm>
                        <a:prstGeom prst="rect">
                          <a:avLst/>
                        </a:prstGeom>
                      </wps:spPr>
                      <wps:txbx>
                        <w:txbxContent>
                          <w:p>
                            <w:pPr>
                              <w:spacing w:line="221" w:lineRule="exact" w:before="0"/>
                              <w:ind w:left="0" w:right="0" w:firstLine="0"/>
                              <w:jc w:val="left"/>
                              <w:rPr>
                                <w:rFonts w:ascii="Calibri"/>
                                <w:i/>
                                <w:sz w:val="22"/>
                              </w:rPr>
                            </w:pPr>
                            <w:r>
                              <w:rPr>
                                <w:rFonts w:ascii="Calibri"/>
                                <w:i/>
                                <w:sz w:val="22"/>
                              </w:rPr>
                              <w:t>Augie,</w:t>
                            </w:r>
                            <w:r>
                              <w:rPr>
                                <w:rFonts w:ascii="Calibri"/>
                                <w:i/>
                                <w:spacing w:val="-2"/>
                                <w:sz w:val="22"/>
                              </w:rPr>
                              <w:t> </w:t>
                            </w:r>
                            <w:r>
                              <w:rPr>
                                <w:rFonts w:ascii="Calibri"/>
                                <w:i/>
                                <w:sz w:val="22"/>
                              </w:rPr>
                              <w:t>M.A.</w:t>
                            </w:r>
                            <w:r>
                              <w:rPr>
                                <w:rFonts w:ascii="Calibri"/>
                                <w:i/>
                                <w:spacing w:val="-2"/>
                                <w:sz w:val="22"/>
                              </w:rPr>
                              <w:t> </w:t>
                            </w:r>
                            <w:r>
                              <w:rPr>
                                <w:rFonts w:ascii="Calibri"/>
                                <w:i/>
                                <w:sz w:val="22"/>
                              </w:rPr>
                              <w:t>et</w:t>
                            </w:r>
                            <w:r>
                              <w:rPr>
                                <w:rFonts w:ascii="Calibri"/>
                                <w:i/>
                                <w:spacing w:val="-3"/>
                                <w:sz w:val="22"/>
                              </w:rPr>
                              <w:t> </w:t>
                            </w:r>
                            <w:r>
                              <w:rPr>
                                <w:rFonts w:ascii="Calibri"/>
                                <w:i/>
                                <w:spacing w:val="-4"/>
                                <w:sz w:val="22"/>
                              </w:rPr>
                              <w:t>al.,.</w:t>
                            </w:r>
                          </w:p>
                        </w:txbxContent>
                      </wps:txbx>
                      <wps:bodyPr wrap="square" lIns="0" tIns="0" rIns="0" bIns="0" rtlCol="0">
                        <a:noAutofit/>
                      </wps:bodyPr>
                    </wps:wsp>
                  </a:graphicData>
                </a:graphic>
              </wp:anchor>
            </w:drawing>
          </mc:Choice>
          <mc:Fallback>
            <w:pict>
              <v:shape style="position:absolute;margin-left:57.504002pt;margin-top:11.202441pt;width:82.5pt;height:11.05pt;mso-position-horizontal-relative:page;mso-position-vertical-relative:paragraph;z-index:-16052736" type="#_x0000_t202" id="docshape2" filled="false" stroked="false">
                <v:textbox inset="0,0,0,0">
                  <w:txbxContent>
                    <w:p>
                      <w:pPr>
                        <w:spacing w:line="221" w:lineRule="exact" w:before="0"/>
                        <w:ind w:left="0" w:right="0" w:firstLine="0"/>
                        <w:jc w:val="left"/>
                        <w:rPr>
                          <w:rFonts w:ascii="Calibri"/>
                          <w:i/>
                          <w:sz w:val="22"/>
                        </w:rPr>
                      </w:pPr>
                      <w:r>
                        <w:rPr>
                          <w:rFonts w:ascii="Calibri"/>
                          <w:i/>
                          <w:sz w:val="22"/>
                        </w:rPr>
                        <w:t>Augie,</w:t>
                      </w:r>
                      <w:r>
                        <w:rPr>
                          <w:rFonts w:ascii="Calibri"/>
                          <w:i/>
                          <w:spacing w:val="-2"/>
                          <w:sz w:val="22"/>
                        </w:rPr>
                        <w:t> </w:t>
                      </w:r>
                      <w:r>
                        <w:rPr>
                          <w:rFonts w:ascii="Calibri"/>
                          <w:i/>
                          <w:sz w:val="22"/>
                        </w:rPr>
                        <w:t>M.A.</w:t>
                      </w:r>
                      <w:r>
                        <w:rPr>
                          <w:rFonts w:ascii="Calibri"/>
                          <w:i/>
                          <w:spacing w:val="-2"/>
                          <w:sz w:val="22"/>
                        </w:rPr>
                        <w:t> </w:t>
                      </w:r>
                      <w:r>
                        <w:rPr>
                          <w:rFonts w:ascii="Calibri"/>
                          <w:i/>
                          <w:sz w:val="22"/>
                        </w:rPr>
                        <w:t>et</w:t>
                      </w:r>
                      <w:r>
                        <w:rPr>
                          <w:rFonts w:ascii="Calibri"/>
                          <w:i/>
                          <w:spacing w:val="-3"/>
                          <w:sz w:val="22"/>
                        </w:rPr>
                        <w:t> </w:t>
                      </w:r>
                      <w:r>
                        <w:rPr>
                          <w:rFonts w:ascii="Calibri"/>
                          <w:i/>
                          <w:spacing w:val="-4"/>
                          <w:sz w:val="22"/>
                        </w:rPr>
                        <w:t>al.,.</w:t>
                      </w:r>
                    </w:p>
                  </w:txbxContent>
                </v:textbox>
                <w10:wrap type="none"/>
              </v:shape>
            </w:pict>
          </mc:Fallback>
        </mc:AlternateContent>
      </w:r>
      <w:r>
        <w:rPr>
          <w:sz w:val="21"/>
        </w:rPr>
        <mc:AlternateContent>
          <mc:Choice Requires="wps">
            <w:drawing>
              <wp:anchor distT="0" distB="0" distL="0" distR="0" allowOverlap="1" layoutInCell="1" locked="0" behindDoc="1" simplePos="0" relativeHeight="487265280">
                <wp:simplePos x="0" y="0"/>
                <wp:positionH relativeFrom="page">
                  <wp:posOffset>593090</wp:posOffset>
                </wp:positionH>
                <wp:positionV relativeFrom="paragraph">
                  <wp:posOffset>63277</wp:posOffset>
                </wp:positionV>
                <wp:extent cx="1704975" cy="25717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704975" cy="257175"/>
                        </a:xfrm>
                        <a:custGeom>
                          <a:avLst/>
                          <a:gdLst/>
                          <a:ahLst/>
                          <a:cxnLst/>
                          <a:rect l="l" t="t" r="r" b="b"/>
                          <a:pathLst>
                            <a:path w="1704975" h="257175">
                              <a:moveTo>
                                <a:pt x="1704975" y="0"/>
                              </a:moveTo>
                              <a:lnTo>
                                <a:pt x="0" y="0"/>
                              </a:lnTo>
                              <a:lnTo>
                                <a:pt x="0" y="257175"/>
                              </a:lnTo>
                              <a:lnTo>
                                <a:pt x="1704975" y="257175"/>
                              </a:lnTo>
                              <a:lnTo>
                                <a:pt x="17049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6.700001pt;margin-top:4.982441pt;width:134.25pt;height:20.25pt;mso-position-horizontal-relative:page;mso-position-vertical-relative:paragraph;z-index:-16051200" id="docshape3" filled="true" fillcolor="#ffffff" stroked="false">
                <v:fill type="solid"/>
                <w10:wrap type="none"/>
              </v:rect>
            </w:pict>
          </mc:Fallback>
        </mc:AlternateContent>
      </w:r>
      <w:r>
        <w:rPr>
          <w:sz w:val="21"/>
        </w:rPr>
        <w:t>Volume-</w:t>
      </w:r>
      <w:r>
        <w:rPr>
          <w:spacing w:val="-7"/>
          <w:sz w:val="21"/>
        </w:rPr>
        <w:t> </w:t>
      </w:r>
      <w:r>
        <w:rPr>
          <w:sz w:val="21"/>
        </w:rPr>
        <w:t>04|</w:t>
      </w:r>
      <w:r>
        <w:rPr>
          <w:spacing w:val="-3"/>
          <w:sz w:val="21"/>
        </w:rPr>
        <w:t> </w:t>
      </w:r>
      <w:r>
        <w:rPr>
          <w:sz w:val="21"/>
        </w:rPr>
        <w:t>Issue-</w:t>
      </w:r>
      <w:r>
        <w:rPr>
          <w:spacing w:val="-4"/>
          <w:sz w:val="21"/>
        </w:rPr>
        <w:t> </w:t>
      </w:r>
      <w:r>
        <w:rPr>
          <w:sz w:val="21"/>
        </w:rPr>
        <w:t>07|</w:t>
      </w:r>
      <w:r>
        <w:rPr>
          <w:spacing w:val="-5"/>
          <w:sz w:val="21"/>
        </w:rPr>
        <w:t> </w:t>
      </w:r>
      <w:r>
        <w:rPr>
          <w:spacing w:val="-4"/>
          <w:sz w:val="21"/>
        </w:rPr>
        <w:t>2025</w:t>
      </w:r>
    </w:p>
    <w:p>
      <w:pPr>
        <w:pStyle w:val="BodyText"/>
        <w:spacing w:before="3"/>
        <w:ind w:left="0"/>
        <w:jc w:val="left"/>
        <w:rPr>
          <w:sz w:val="11"/>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2"/>
        <w:gridCol w:w="6640"/>
      </w:tblGrid>
      <w:tr>
        <w:trPr>
          <w:trHeight w:val="277" w:hRule="atLeast"/>
        </w:trPr>
        <w:tc>
          <w:tcPr>
            <w:tcW w:w="3442" w:type="dxa"/>
            <w:tcBorders>
              <w:top w:val="single" w:sz="12" w:space="0" w:color="17365D"/>
              <w:bottom w:val="single" w:sz="2" w:space="0" w:color="365F91"/>
            </w:tcBorders>
          </w:tcPr>
          <w:p>
            <w:pPr>
              <w:pStyle w:val="TableParagraph"/>
              <w:spacing w:line="227" w:lineRule="exact"/>
              <w:ind w:left="115"/>
              <w:rPr>
                <w:b/>
                <w:sz w:val="20"/>
              </w:rPr>
            </w:pPr>
            <w:r>
              <w:rPr>
                <w:b/>
                <w:sz w:val="20"/>
              </w:rPr>
              <w:t>Research</w:t>
            </w:r>
            <w:r>
              <w:rPr>
                <w:b/>
                <w:spacing w:val="-7"/>
                <w:sz w:val="20"/>
              </w:rPr>
              <w:t> </w:t>
            </w:r>
            <w:r>
              <w:rPr>
                <w:b/>
                <w:spacing w:val="-2"/>
                <w:sz w:val="20"/>
              </w:rPr>
              <w:t>Article</w:t>
            </w:r>
          </w:p>
        </w:tc>
        <w:tc>
          <w:tcPr>
            <w:tcW w:w="6640" w:type="dxa"/>
            <w:tcBorders>
              <w:top w:val="single" w:sz="12" w:space="0" w:color="17365D"/>
              <w:bottom w:val="single" w:sz="2" w:space="0" w:color="365F91"/>
            </w:tcBorders>
          </w:tcPr>
          <w:p>
            <w:pPr>
              <w:pStyle w:val="TableParagraph"/>
              <w:spacing w:line="240" w:lineRule="auto" w:before="30"/>
              <w:ind w:left="1901"/>
              <w:rPr>
                <w:sz w:val="16"/>
              </w:rPr>
            </w:pPr>
            <w:r>
              <w:rPr>
                <w:b/>
                <w:sz w:val="16"/>
              </w:rPr>
              <w:t>Received:</w:t>
            </w:r>
            <w:r>
              <w:rPr>
                <w:b/>
                <w:spacing w:val="-7"/>
                <w:sz w:val="16"/>
              </w:rPr>
              <w:t> </w:t>
            </w:r>
            <w:r>
              <w:rPr>
                <w:sz w:val="16"/>
              </w:rPr>
              <w:t>19-06-2025</w:t>
            </w:r>
            <w:r>
              <w:rPr>
                <w:b/>
                <w:sz w:val="16"/>
              </w:rPr>
              <w:t>|</w:t>
            </w:r>
            <w:r>
              <w:rPr>
                <w:b/>
                <w:spacing w:val="-9"/>
                <w:sz w:val="16"/>
              </w:rPr>
              <w:t> </w:t>
            </w:r>
            <w:r>
              <w:rPr>
                <w:b/>
                <w:sz w:val="16"/>
              </w:rPr>
              <w:t>Accepted:</w:t>
            </w:r>
            <w:r>
              <w:rPr>
                <w:b/>
                <w:spacing w:val="-8"/>
                <w:sz w:val="16"/>
              </w:rPr>
              <w:t> </w:t>
            </w:r>
            <w:r>
              <w:rPr>
                <w:sz w:val="16"/>
              </w:rPr>
              <w:t>10-07-2025</w:t>
            </w:r>
            <w:r>
              <w:rPr>
                <w:spacing w:val="-5"/>
                <w:sz w:val="16"/>
              </w:rPr>
              <w:t> </w:t>
            </w:r>
            <w:r>
              <w:rPr>
                <w:b/>
                <w:sz w:val="16"/>
              </w:rPr>
              <w:t>|</w:t>
            </w:r>
            <w:r>
              <w:rPr>
                <w:b/>
                <w:spacing w:val="-9"/>
                <w:sz w:val="16"/>
              </w:rPr>
              <w:t> </w:t>
            </w:r>
            <w:r>
              <w:rPr>
                <w:b/>
                <w:sz w:val="16"/>
              </w:rPr>
              <w:t>Published:</w:t>
            </w:r>
            <w:r>
              <w:rPr>
                <w:b/>
                <w:spacing w:val="-8"/>
                <w:sz w:val="16"/>
              </w:rPr>
              <w:t> </w:t>
            </w:r>
            <w:r>
              <w:rPr>
                <w:sz w:val="16"/>
              </w:rPr>
              <w:t>28-07-</w:t>
            </w:r>
            <w:r>
              <w:rPr>
                <w:spacing w:val="-4"/>
                <w:sz w:val="16"/>
              </w:rPr>
              <w:t>2025</w:t>
            </w:r>
          </w:p>
        </w:tc>
      </w:tr>
    </w:tbl>
    <w:p>
      <w:pPr>
        <w:pStyle w:val="Heading1"/>
      </w:pPr>
      <w:r>
        <w:rPr>
          <w:color w:val="4F81BC"/>
        </w:rPr>
        <w:t>Secure</w:t>
      </w:r>
      <w:r>
        <w:rPr>
          <w:color w:val="4F81BC"/>
          <w:spacing w:val="-6"/>
        </w:rPr>
        <w:t> </w:t>
      </w:r>
      <w:r>
        <w:rPr>
          <w:color w:val="4F81BC"/>
        </w:rPr>
        <w:t>Data</w:t>
      </w:r>
      <w:r>
        <w:rPr>
          <w:color w:val="4F81BC"/>
          <w:spacing w:val="-4"/>
        </w:rPr>
        <w:t> </w:t>
      </w:r>
      <w:r>
        <w:rPr>
          <w:color w:val="4F81BC"/>
        </w:rPr>
        <w:t>Flow</w:t>
      </w:r>
      <w:r>
        <w:rPr>
          <w:color w:val="4F81BC"/>
          <w:spacing w:val="-2"/>
        </w:rPr>
        <w:t> </w:t>
      </w:r>
      <w:r>
        <w:rPr>
          <w:color w:val="4F81BC"/>
        </w:rPr>
        <w:t>Patterns</w:t>
      </w:r>
      <w:r>
        <w:rPr>
          <w:color w:val="4F81BC"/>
          <w:spacing w:val="-8"/>
        </w:rPr>
        <w:t> </w:t>
      </w:r>
      <w:r>
        <w:rPr>
          <w:color w:val="4F81BC"/>
        </w:rPr>
        <w:t>in</w:t>
      </w:r>
      <w:r>
        <w:rPr>
          <w:color w:val="4F81BC"/>
          <w:spacing w:val="-5"/>
        </w:rPr>
        <w:t> </w:t>
      </w:r>
      <w:r>
        <w:rPr>
          <w:color w:val="4F81BC"/>
        </w:rPr>
        <w:t>Financial</w:t>
      </w:r>
      <w:r>
        <w:rPr>
          <w:color w:val="4F81BC"/>
          <w:spacing w:val="-7"/>
        </w:rPr>
        <w:t> </w:t>
      </w:r>
      <w:r>
        <w:rPr>
          <w:color w:val="4F81BC"/>
        </w:rPr>
        <w:t>Integration</w:t>
      </w:r>
      <w:r>
        <w:rPr>
          <w:color w:val="4F81BC"/>
          <w:spacing w:val="-5"/>
        </w:rPr>
        <w:t> </w:t>
      </w:r>
      <w:r>
        <w:rPr>
          <w:color w:val="4F81BC"/>
          <w:spacing w:val="-2"/>
        </w:rPr>
        <w:t>Architecture</w:t>
      </w:r>
    </w:p>
    <w:p>
      <w:pPr>
        <w:spacing w:line="228" w:lineRule="exact" w:before="195"/>
        <w:ind w:left="230" w:right="0" w:firstLine="0"/>
        <w:jc w:val="left"/>
        <w:rPr>
          <w:b/>
          <w:i/>
          <w:sz w:val="20"/>
        </w:rPr>
      </w:pPr>
      <w:r>
        <w:rPr>
          <w:b/>
          <w:i/>
          <w:sz w:val="20"/>
        </w:rPr>
        <w:t>Srikanth</w:t>
      </w:r>
      <w:r>
        <w:rPr>
          <w:b/>
          <w:i/>
          <w:spacing w:val="-9"/>
          <w:sz w:val="20"/>
        </w:rPr>
        <w:t> </w:t>
      </w:r>
      <w:r>
        <w:rPr>
          <w:b/>
          <w:i/>
          <w:spacing w:val="-2"/>
          <w:sz w:val="20"/>
        </w:rPr>
        <w:t>Sriramoju</w:t>
      </w:r>
    </w:p>
    <w:p>
      <w:pPr>
        <w:spacing w:line="228" w:lineRule="exact" w:before="0"/>
        <w:ind w:left="230" w:right="0" w:firstLine="0"/>
        <w:jc w:val="left"/>
        <w:rPr>
          <w:i/>
          <w:sz w:val="20"/>
        </w:rPr>
      </w:pPr>
      <w:r>
        <w:rPr>
          <w:i/>
          <w:sz w:val="20"/>
        </w:rPr>
        <w:t>University</w:t>
      </w:r>
      <w:r>
        <w:rPr>
          <w:i/>
          <w:spacing w:val="-5"/>
          <w:sz w:val="20"/>
        </w:rPr>
        <w:t> </w:t>
      </w:r>
      <w:r>
        <w:rPr>
          <w:i/>
          <w:sz w:val="20"/>
        </w:rPr>
        <w:t>of</w:t>
      </w:r>
      <w:r>
        <w:rPr>
          <w:i/>
          <w:spacing w:val="-6"/>
          <w:sz w:val="20"/>
        </w:rPr>
        <w:t> </w:t>
      </w:r>
      <w:r>
        <w:rPr>
          <w:i/>
          <w:sz w:val="20"/>
        </w:rPr>
        <w:t>the</w:t>
      </w:r>
      <w:r>
        <w:rPr>
          <w:i/>
          <w:spacing w:val="-5"/>
          <w:sz w:val="20"/>
        </w:rPr>
        <w:t> </w:t>
      </w:r>
      <w:r>
        <w:rPr>
          <w:i/>
          <w:sz w:val="20"/>
        </w:rPr>
        <w:t>Cumberlands,</w:t>
      </w:r>
      <w:r>
        <w:rPr>
          <w:i/>
          <w:spacing w:val="-5"/>
          <w:sz w:val="20"/>
        </w:rPr>
        <w:t> USA</w:t>
      </w:r>
    </w:p>
    <w:p>
      <w:pPr>
        <w:pStyle w:val="BodyText"/>
        <w:spacing w:before="7"/>
        <w:ind w:left="0"/>
        <w:jc w:val="left"/>
        <w:rPr>
          <w:i/>
          <w:sz w:val="15"/>
        </w:rPr>
      </w:pPr>
      <w:r>
        <w:rPr>
          <w:i/>
          <w:sz w:val="15"/>
        </w:rPr>
        <mc:AlternateContent>
          <mc:Choice Requires="wps">
            <w:drawing>
              <wp:anchor distT="0" distB="0" distL="0" distR="0" allowOverlap="1" layoutInCell="1" locked="0" behindDoc="1" simplePos="0" relativeHeight="487587840">
                <wp:simplePos x="0" y="0"/>
                <wp:positionH relativeFrom="page">
                  <wp:posOffset>957376</wp:posOffset>
                </wp:positionH>
                <wp:positionV relativeFrom="paragraph">
                  <wp:posOffset>129570</wp:posOffset>
                </wp:positionV>
                <wp:extent cx="5580380" cy="317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580380" cy="3175"/>
                        </a:xfrm>
                        <a:custGeom>
                          <a:avLst/>
                          <a:gdLst/>
                          <a:ahLst/>
                          <a:cxnLst/>
                          <a:rect l="l" t="t" r="r" b="b"/>
                          <a:pathLst>
                            <a:path w="5580380" h="3175">
                              <a:moveTo>
                                <a:pt x="5580253" y="0"/>
                              </a:moveTo>
                              <a:lnTo>
                                <a:pt x="0" y="0"/>
                              </a:lnTo>
                              <a:lnTo>
                                <a:pt x="0" y="3047"/>
                              </a:lnTo>
                              <a:lnTo>
                                <a:pt x="5580253" y="3047"/>
                              </a:lnTo>
                              <a:lnTo>
                                <a:pt x="5580253"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rect style="position:absolute;margin-left:75.384003pt;margin-top:10.202386pt;width:439.39pt;height:.23999pt;mso-position-horizontal-relative:page;mso-position-vertical-relative:paragraph;z-index:-15728640;mso-wrap-distance-left:0;mso-wrap-distance-right:0" id="docshape4" filled="true" fillcolor="#365f91" stroked="false">
                <v:fill type="solid"/>
                <w10:wrap type="topAndBottom"/>
              </v:rect>
            </w:pict>
          </mc:Fallback>
        </mc:AlternateContent>
      </w:r>
    </w:p>
    <w:p>
      <w:pPr>
        <w:spacing w:line="276" w:lineRule="auto" w:before="0"/>
        <w:ind w:left="763" w:right="865" w:firstLine="0"/>
        <w:jc w:val="both"/>
        <w:rPr>
          <w:sz w:val="16"/>
        </w:rPr>
      </w:pPr>
      <w:r>
        <w:rPr>
          <w:b/>
          <w:sz w:val="20"/>
        </w:rPr>
        <w:t>Abstract: </w:t>
      </w:r>
      <w:r>
        <w:rPr>
          <w:sz w:val="16"/>
        </w:rPr>
        <w:t>Financial integration architecture represents important infrastructure requiring strong safety</w:t>
      </w:r>
      <w:r>
        <w:rPr>
          <w:spacing w:val="-2"/>
          <w:sz w:val="16"/>
        </w:rPr>
        <w:t> </w:t>
      </w:r>
      <w:r>
        <w:rPr>
          <w:sz w:val="16"/>
        </w:rPr>
        <w:t>controls to protect sensitive</w:t>
      </w:r>
      <w:r>
        <w:rPr>
          <w:spacing w:val="40"/>
          <w:sz w:val="16"/>
        </w:rPr>
        <w:t> </w:t>
      </w:r>
      <w:r>
        <w:rPr>
          <w:sz w:val="16"/>
        </w:rPr>
        <w:t>data, enabling efficient transaction processing. The complex scenario of financial technology includes systems spread from core</w:t>
      </w:r>
      <w:r>
        <w:rPr>
          <w:spacing w:val="40"/>
          <w:sz w:val="16"/>
        </w:rPr>
        <w:t> </w:t>
      </w:r>
      <w:r>
        <w:rPr>
          <w:sz w:val="16"/>
        </w:rPr>
        <w:t>banking</w:t>
      </w:r>
      <w:r>
        <w:rPr>
          <w:spacing w:val="-2"/>
          <w:sz w:val="16"/>
        </w:rPr>
        <w:t> </w:t>
      </w:r>
      <w:r>
        <w:rPr>
          <w:sz w:val="16"/>
        </w:rPr>
        <w:t>platforms</w:t>
      </w:r>
      <w:r>
        <w:rPr>
          <w:spacing w:val="-1"/>
          <w:sz w:val="16"/>
        </w:rPr>
        <w:t> </w:t>
      </w:r>
      <w:r>
        <w:rPr>
          <w:sz w:val="16"/>
        </w:rPr>
        <w:t>to</w:t>
      </w:r>
      <w:r>
        <w:rPr>
          <w:spacing w:val="-2"/>
          <w:sz w:val="16"/>
        </w:rPr>
        <w:t> </w:t>
      </w:r>
      <w:r>
        <w:rPr>
          <w:sz w:val="16"/>
        </w:rPr>
        <w:t>customer-facing</w:t>
      </w:r>
      <w:r>
        <w:rPr>
          <w:spacing w:val="-2"/>
          <w:sz w:val="16"/>
        </w:rPr>
        <w:t> </w:t>
      </w:r>
      <w:r>
        <w:rPr>
          <w:sz w:val="16"/>
        </w:rPr>
        <w:t>applications, each of</w:t>
      </w:r>
      <w:r>
        <w:rPr>
          <w:spacing w:val="-2"/>
          <w:sz w:val="16"/>
        </w:rPr>
        <w:t> </w:t>
      </w:r>
      <w:r>
        <w:rPr>
          <w:sz w:val="16"/>
        </w:rPr>
        <w:t>which offers</w:t>
      </w:r>
      <w:r>
        <w:rPr>
          <w:spacing w:val="-1"/>
          <w:sz w:val="16"/>
        </w:rPr>
        <w:t> </w:t>
      </w:r>
      <w:r>
        <w:rPr>
          <w:sz w:val="16"/>
        </w:rPr>
        <w:t>unique</w:t>
      </w:r>
      <w:r>
        <w:rPr>
          <w:spacing w:val="-3"/>
          <w:sz w:val="16"/>
        </w:rPr>
        <w:t> </w:t>
      </w:r>
      <w:r>
        <w:rPr>
          <w:sz w:val="16"/>
        </w:rPr>
        <w:t>security</w:t>
      </w:r>
      <w:r>
        <w:rPr>
          <w:spacing w:val="-4"/>
          <w:sz w:val="16"/>
        </w:rPr>
        <w:t> </w:t>
      </w:r>
      <w:r>
        <w:rPr>
          <w:sz w:val="16"/>
        </w:rPr>
        <w:t>challenges. This</w:t>
      </w:r>
      <w:r>
        <w:rPr>
          <w:spacing w:val="-1"/>
          <w:sz w:val="16"/>
        </w:rPr>
        <w:t> </w:t>
      </w:r>
      <w:r>
        <w:rPr>
          <w:sz w:val="16"/>
        </w:rPr>
        <w:t>comprehensive</w:t>
      </w:r>
      <w:r>
        <w:rPr>
          <w:spacing w:val="-3"/>
          <w:sz w:val="16"/>
        </w:rPr>
        <w:t> </w:t>
      </w:r>
      <w:r>
        <w:rPr>
          <w:sz w:val="16"/>
        </w:rPr>
        <w:t>examination</w:t>
      </w:r>
      <w:r>
        <w:rPr>
          <w:spacing w:val="40"/>
          <w:sz w:val="16"/>
        </w:rPr>
        <w:t> </w:t>
      </w:r>
      <w:r>
        <w:rPr>
          <w:sz w:val="16"/>
        </w:rPr>
        <w:t>of secure data flow patterns</w:t>
      </w:r>
      <w:r>
        <w:rPr>
          <w:spacing w:val="-1"/>
          <w:sz w:val="16"/>
        </w:rPr>
        <w:t> </w:t>
      </w:r>
      <w:r>
        <w:rPr>
          <w:sz w:val="16"/>
        </w:rPr>
        <w:t>in financial integration architectures reveals the quantitative benefits of various architectural approaches,</w:t>
      </w:r>
      <w:r>
        <w:rPr>
          <w:spacing w:val="40"/>
          <w:sz w:val="16"/>
        </w:rPr>
        <w:t> </w:t>
      </w:r>
      <w:r>
        <w:rPr>
          <w:sz w:val="16"/>
        </w:rPr>
        <w:t>protection strategies, transport protocols, and implementation patterns. The evolution from traditional point-to-point connections</w:t>
      </w:r>
      <w:r>
        <w:rPr>
          <w:spacing w:val="40"/>
          <w:sz w:val="16"/>
        </w:rPr>
        <w:t> </w:t>
      </w:r>
      <w:r>
        <w:rPr>
          <w:sz w:val="16"/>
        </w:rPr>
        <w:t>toward hybrid and domain-specific architectures has yielded measurable security improvements while addressing performance</w:t>
      </w:r>
      <w:r>
        <w:rPr>
          <w:spacing w:val="40"/>
          <w:sz w:val="16"/>
        </w:rPr>
        <w:t> </w:t>
      </w:r>
      <w:r>
        <w:rPr>
          <w:sz w:val="16"/>
        </w:rPr>
        <w:t>considerations. Data payload protection through tokenization, field-level masking, and specialized encryption techniques</w:t>
      </w:r>
      <w:r>
        <w:rPr>
          <w:spacing w:val="40"/>
          <w:sz w:val="16"/>
        </w:rPr>
        <w:t> </w:t>
      </w:r>
      <w:r>
        <w:rPr>
          <w:sz w:val="16"/>
        </w:rPr>
        <w:t>demonstrates significant breach impact reduction across varied financial contexts. Transport-level security has matured from basic</w:t>
      </w:r>
      <w:r>
        <w:rPr>
          <w:spacing w:val="40"/>
          <w:sz w:val="16"/>
        </w:rPr>
        <w:t> </w:t>
      </w:r>
      <w:r>
        <w:rPr>
          <w:sz w:val="16"/>
        </w:rPr>
        <w:t>protocols toward multi-layered approaches incorporating mutual authentication and standardized API security. Implementation</w:t>
      </w:r>
      <w:r>
        <w:rPr>
          <w:spacing w:val="40"/>
          <w:sz w:val="16"/>
        </w:rPr>
        <w:t> </w:t>
      </w:r>
      <w:r>
        <w:rPr>
          <w:sz w:val="16"/>
        </w:rPr>
        <w:t>patterns tailored to specific integration scenarios—from CRM-to-ERP connections to cross-border transfers—provide frameworks</w:t>
      </w:r>
      <w:r>
        <w:rPr>
          <w:spacing w:val="80"/>
          <w:sz w:val="16"/>
        </w:rPr>
        <w:t> </w:t>
      </w:r>
      <w:r>
        <w:rPr>
          <w:sz w:val="16"/>
        </w:rPr>
        <w:t>for balancing security requirements with operational efficiency. The aggregated findings demonstrate that strategic selection and</w:t>
      </w:r>
      <w:r>
        <w:rPr>
          <w:spacing w:val="40"/>
          <w:sz w:val="16"/>
        </w:rPr>
        <w:t> </w:t>
      </w:r>
      <w:r>
        <w:rPr>
          <w:sz w:val="16"/>
        </w:rPr>
        <w:t>implementation of secure integration patterns yield substantial protection against evolving threats while enabling the flexibility</w:t>
      </w:r>
      <w:r>
        <w:rPr>
          <w:spacing w:val="40"/>
          <w:sz w:val="16"/>
        </w:rPr>
        <w:t> </w:t>
      </w:r>
      <w:r>
        <w:rPr>
          <w:sz w:val="16"/>
        </w:rPr>
        <w:t>required in modern financial ecosystems.</w:t>
      </w:r>
    </w:p>
    <w:p>
      <w:pPr>
        <w:spacing w:before="1"/>
        <w:ind w:left="763" w:right="0" w:firstLine="0"/>
        <w:jc w:val="both"/>
        <w:rPr>
          <w:sz w:val="16"/>
        </w:rPr>
      </w:pPr>
      <w:r>
        <w:rPr>
          <w:sz w:val="16"/>
        </w:rPr>
        <mc:AlternateContent>
          <mc:Choice Requires="wps">
            <w:drawing>
              <wp:anchor distT="0" distB="0" distL="0" distR="0" allowOverlap="1" layoutInCell="1" locked="0" behindDoc="1" simplePos="0" relativeHeight="487588352">
                <wp:simplePos x="0" y="0"/>
                <wp:positionH relativeFrom="page">
                  <wp:posOffset>948232</wp:posOffset>
                </wp:positionH>
                <wp:positionV relativeFrom="paragraph">
                  <wp:posOffset>169378</wp:posOffset>
                </wp:positionV>
                <wp:extent cx="5589905" cy="317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589905" cy="3175"/>
                        </a:xfrm>
                        <a:custGeom>
                          <a:avLst/>
                          <a:gdLst/>
                          <a:ahLst/>
                          <a:cxnLst/>
                          <a:rect l="l" t="t" r="r" b="b"/>
                          <a:pathLst>
                            <a:path w="5589905" h="3175">
                              <a:moveTo>
                                <a:pt x="5589397" y="0"/>
                              </a:moveTo>
                              <a:lnTo>
                                <a:pt x="0" y="0"/>
                              </a:lnTo>
                              <a:lnTo>
                                <a:pt x="0" y="3047"/>
                              </a:lnTo>
                              <a:lnTo>
                                <a:pt x="5589397" y="3047"/>
                              </a:lnTo>
                              <a:lnTo>
                                <a:pt x="5589397"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rect style="position:absolute;margin-left:74.664001pt;margin-top:13.336914pt;width:440.11pt;height:.23999pt;mso-position-horizontal-relative:page;mso-position-vertical-relative:paragraph;z-index:-15728128;mso-wrap-distance-left:0;mso-wrap-distance-right:0" id="docshape5" filled="true" fillcolor="#365f91" stroked="false">
                <v:fill type="solid"/>
                <w10:wrap type="topAndBottom"/>
              </v:rect>
            </w:pict>
          </mc:Fallback>
        </mc:AlternateContent>
      </w:r>
      <w:r>
        <w:rPr>
          <w:b/>
          <w:sz w:val="20"/>
        </w:rPr>
        <w:t>Keywords:</w:t>
      </w:r>
      <w:r>
        <w:rPr>
          <w:b/>
          <w:spacing w:val="-10"/>
          <w:sz w:val="20"/>
        </w:rPr>
        <w:t> </w:t>
      </w:r>
      <w:r>
        <w:rPr>
          <w:sz w:val="16"/>
        </w:rPr>
        <w:t>Financial</w:t>
      </w:r>
      <w:r>
        <w:rPr>
          <w:spacing w:val="-8"/>
          <w:sz w:val="16"/>
        </w:rPr>
        <w:t> </w:t>
      </w:r>
      <w:r>
        <w:rPr>
          <w:sz w:val="16"/>
        </w:rPr>
        <w:t>integration</w:t>
      </w:r>
      <w:r>
        <w:rPr>
          <w:spacing w:val="-7"/>
          <w:sz w:val="16"/>
        </w:rPr>
        <w:t> </w:t>
      </w:r>
      <w:r>
        <w:rPr>
          <w:sz w:val="16"/>
        </w:rPr>
        <w:t>security,</w:t>
      </w:r>
      <w:r>
        <w:rPr>
          <w:spacing w:val="-7"/>
          <w:sz w:val="16"/>
        </w:rPr>
        <w:t> </w:t>
      </w:r>
      <w:r>
        <w:rPr>
          <w:sz w:val="16"/>
        </w:rPr>
        <w:t>data</w:t>
      </w:r>
      <w:r>
        <w:rPr>
          <w:spacing w:val="-7"/>
          <w:sz w:val="16"/>
        </w:rPr>
        <w:t> </w:t>
      </w:r>
      <w:r>
        <w:rPr>
          <w:sz w:val="16"/>
        </w:rPr>
        <w:t>tokenization,</w:t>
      </w:r>
      <w:r>
        <w:rPr>
          <w:spacing w:val="-7"/>
          <w:sz w:val="16"/>
        </w:rPr>
        <w:t> </w:t>
      </w:r>
      <w:r>
        <w:rPr>
          <w:sz w:val="16"/>
        </w:rPr>
        <w:t>transport</w:t>
      </w:r>
      <w:r>
        <w:rPr>
          <w:spacing w:val="-8"/>
          <w:sz w:val="16"/>
        </w:rPr>
        <w:t> </w:t>
      </w:r>
      <w:r>
        <w:rPr>
          <w:sz w:val="16"/>
        </w:rPr>
        <w:t>protocols,</w:t>
      </w:r>
      <w:r>
        <w:rPr>
          <w:spacing w:val="-7"/>
          <w:sz w:val="16"/>
        </w:rPr>
        <w:t> </w:t>
      </w:r>
      <w:r>
        <w:rPr>
          <w:sz w:val="16"/>
        </w:rPr>
        <w:t>API</w:t>
      </w:r>
      <w:r>
        <w:rPr>
          <w:spacing w:val="-10"/>
          <w:sz w:val="16"/>
        </w:rPr>
        <w:t> </w:t>
      </w:r>
      <w:r>
        <w:rPr>
          <w:sz w:val="16"/>
        </w:rPr>
        <w:t>security,</w:t>
      </w:r>
      <w:r>
        <w:rPr>
          <w:spacing w:val="-7"/>
          <w:sz w:val="16"/>
        </w:rPr>
        <w:t> </w:t>
      </w:r>
      <w:r>
        <w:rPr>
          <w:sz w:val="16"/>
        </w:rPr>
        <w:t>cross-border</w:t>
      </w:r>
      <w:r>
        <w:rPr>
          <w:spacing w:val="-9"/>
          <w:sz w:val="16"/>
        </w:rPr>
        <w:t> </w:t>
      </w:r>
      <w:r>
        <w:rPr>
          <w:spacing w:val="-2"/>
          <w:sz w:val="16"/>
        </w:rPr>
        <w:t>compliance.</w:t>
      </w:r>
    </w:p>
    <w:p>
      <w:pPr>
        <w:pStyle w:val="BodyText"/>
        <w:spacing w:before="20"/>
        <w:ind w:left="0"/>
        <w:jc w:val="left"/>
        <w:rPr>
          <w:sz w:val="16"/>
        </w:rPr>
      </w:pPr>
    </w:p>
    <w:p>
      <w:pPr>
        <w:pStyle w:val="Heading2"/>
        <w:spacing w:line="317" w:lineRule="exact"/>
        <w:jc w:val="left"/>
      </w:pPr>
      <w:r>
        <w:rPr>
          <w:color w:val="4F81BC"/>
          <w:spacing w:val="-2"/>
        </w:rPr>
        <w:t>INTRODUCTION</w:t>
      </w:r>
    </w:p>
    <w:p>
      <w:pPr>
        <w:pStyle w:val="Heading2"/>
        <w:spacing w:after="0" w:line="317" w:lineRule="exact"/>
        <w:jc w:val="left"/>
        <w:sectPr>
          <w:footerReference w:type="default" r:id="rId5"/>
          <w:type w:val="continuous"/>
          <w:pgSz w:w="11910" w:h="16840"/>
          <w:pgMar w:header="0" w:footer="1033" w:top="440" w:bottom="1220" w:left="850" w:right="850"/>
          <w:pgNumType w:start="1"/>
        </w:sectPr>
      </w:pPr>
    </w:p>
    <w:p>
      <w:pPr>
        <w:pStyle w:val="BodyText"/>
        <w:ind w:right="38"/>
      </w:pPr>
      <w:r>
        <w:rPr/>
        <w:t>Financial institutions navigate an integration landscape of unprecedented complexity, with enterprises managing an average of 367 applications across hybrid cloud environments, where 43% contain sensitive financial data requiring robust security protocols (Gos, M. &amp; Spiridon,</w:t>
      </w:r>
      <w:r>
        <w:rPr>
          <w:spacing w:val="-2"/>
        </w:rPr>
        <w:t> </w:t>
      </w:r>
      <w:r>
        <w:rPr/>
        <w:t>S.).</w:t>
      </w:r>
      <w:r>
        <w:rPr>
          <w:spacing w:val="-2"/>
        </w:rPr>
        <w:t> </w:t>
      </w:r>
      <w:r>
        <w:rPr/>
        <w:t>This</w:t>
      </w:r>
      <w:r>
        <w:rPr>
          <w:spacing w:val="-1"/>
        </w:rPr>
        <w:t> </w:t>
      </w:r>
      <w:r>
        <w:rPr/>
        <w:t>integration challenge intensifies as financial organizations experience 142% more cyberattacks than other sectors, with data breach costs averaging $5.97 million per incident, significantly higher than the global cross-industry average of $4.45 million (Finastra, 2025). The embedded</w:t>
      </w:r>
      <w:r>
        <w:rPr>
          <w:spacing w:val="12"/>
        </w:rPr>
        <w:t> </w:t>
      </w:r>
      <w:r>
        <w:rPr/>
        <w:t>finance</w:t>
      </w:r>
      <w:r>
        <w:rPr>
          <w:spacing w:val="12"/>
        </w:rPr>
        <w:t> </w:t>
      </w:r>
      <w:r>
        <w:rPr/>
        <w:t>market,</w:t>
      </w:r>
      <w:r>
        <w:rPr>
          <w:spacing w:val="12"/>
        </w:rPr>
        <w:t> </w:t>
      </w:r>
      <w:r>
        <w:rPr/>
        <w:t>projected</w:t>
      </w:r>
      <w:r>
        <w:rPr>
          <w:spacing w:val="13"/>
        </w:rPr>
        <w:t> </w:t>
      </w:r>
      <w:r>
        <w:rPr/>
        <w:t>to</w:t>
      </w:r>
      <w:r>
        <w:rPr>
          <w:spacing w:val="12"/>
        </w:rPr>
        <w:t> </w:t>
      </w:r>
      <w:r>
        <w:rPr/>
        <w:t>grow</w:t>
      </w:r>
      <w:r>
        <w:rPr>
          <w:spacing w:val="12"/>
        </w:rPr>
        <w:t> </w:t>
      </w:r>
      <w:r>
        <w:rPr>
          <w:spacing w:val="-4"/>
        </w:rPr>
        <w:t>from</w:t>
      </w:r>
    </w:p>
    <w:p>
      <w:pPr>
        <w:pStyle w:val="BodyText"/>
        <w:ind w:right="41"/>
      </w:pPr>
      <w:r>
        <w:rPr/>
        <w:t>$43</w:t>
      </w:r>
      <w:r>
        <w:rPr>
          <w:spacing w:val="-3"/>
        </w:rPr>
        <w:t> </w:t>
      </w:r>
      <w:r>
        <w:rPr/>
        <w:t>billion</w:t>
      </w:r>
      <w:r>
        <w:rPr>
          <w:spacing w:val="-3"/>
        </w:rPr>
        <w:t> </w:t>
      </w:r>
      <w:r>
        <w:rPr/>
        <w:t>in</w:t>
      </w:r>
      <w:r>
        <w:rPr>
          <w:spacing w:val="-3"/>
        </w:rPr>
        <w:t> </w:t>
      </w:r>
      <w:r>
        <w:rPr/>
        <w:t>2021</w:t>
      </w:r>
      <w:r>
        <w:rPr>
          <w:spacing w:val="-5"/>
        </w:rPr>
        <w:t> </w:t>
      </w:r>
      <w:r>
        <w:rPr/>
        <w:t>to</w:t>
      </w:r>
      <w:r>
        <w:rPr>
          <w:spacing w:val="-3"/>
        </w:rPr>
        <w:t> </w:t>
      </w:r>
      <w:r>
        <w:rPr/>
        <w:t>$138</w:t>
      </w:r>
      <w:r>
        <w:rPr>
          <w:spacing w:val="-5"/>
        </w:rPr>
        <w:t> </w:t>
      </w:r>
      <w:r>
        <w:rPr/>
        <w:t>billion</w:t>
      </w:r>
      <w:r>
        <w:rPr>
          <w:spacing w:val="-3"/>
        </w:rPr>
        <w:t> </w:t>
      </w:r>
      <w:r>
        <w:rPr/>
        <w:t>by</w:t>
      </w:r>
      <w:r>
        <w:rPr>
          <w:spacing w:val="-5"/>
        </w:rPr>
        <w:t> </w:t>
      </w:r>
      <w:r>
        <w:rPr/>
        <w:t>2026,</w:t>
      </w:r>
      <w:r>
        <w:rPr>
          <w:spacing w:val="-3"/>
        </w:rPr>
        <w:t> </w:t>
      </w:r>
      <w:r>
        <w:rPr/>
        <w:t>further complicates this landscape by introducing 7-12 additional integration touchpoints per implementation, each requiring specialized</w:t>
      </w:r>
      <w:r>
        <w:rPr>
          <w:spacing w:val="40"/>
        </w:rPr>
        <w:t> </w:t>
      </w:r>
      <w:r>
        <w:rPr/>
        <w:t>security controls to maintain compliance with regulatory frameworks (Gos, M. &amp; Spiridon, S.)</w:t>
      </w:r>
    </w:p>
    <w:p>
      <w:pPr>
        <w:pStyle w:val="BodyText"/>
        <w:spacing w:before="130"/>
        <w:ind w:right="44"/>
      </w:pPr>
      <w:r>
        <w:rPr/>
        <w:t>The confidential nature of financial data, coupled with regulatory requirements including GDPR's potential</w:t>
      </w:r>
      <w:r>
        <w:rPr>
          <w:spacing w:val="25"/>
        </w:rPr>
        <w:t> </w:t>
      </w:r>
      <w:r>
        <w:rPr/>
        <w:t>4%</w:t>
      </w:r>
      <w:r>
        <w:rPr>
          <w:spacing w:val="25"/>
        </w:rPr>
        <w:t> </w:t>
      </w:r>
      <w:r>
        <w:rPr/>
        <w:t>global</w:t>
      </w:r>
      <w:r>
        <w:rPr>
          <w:spacing w:val="26"/>
        </w:rPr>
        <w:t> </w:t>
      </w:r>
      <w:r>
        <w:rPr/>
        <w:t>revenue</w:t>
      </w:r>
      <w:r>
        <w:rPr>
          <w:spacing w:val="27"/>
        </w:rPr>
        <w:t> </w:t>
      </w:r>
      <w:r>
        <w:rPr/>
        <w:t>penalties,</w:t>
      </w:r>
      <w:r>
        <w:rPr>
          <w:spacing w:val="27"/>
        </w:rPr>
        <w:t> </w:t>
      </w:r>
      <w:r>
        <w:rPr/>
        <w:t>PCI-</w:t>
      </w:r>
      <w:r>
        <w:rPr>
          <w:spacing w:val="-4"/>
        </w:rPr>
        <w:t>DSS's</w:t>
      </w:r>
    </w:p>
    <w:p>
      <w:pPr>
        <w:pStyle w:val="BodyText"/>
        <w:spacing w:before="1"/>
        <w:ind w:right="42"/>
      </w:pPr>
      <w:r>
        <w:rPr/>
        <w:t>12 core security requirements, and SOX's 404 compliance controls, necessitates architectural approaches that balance security with operational efficiency.</w:t>
      </w:r>
      <w:r>
        <w:rPr>
          <w:spacing w:val="1"/>
        </w:rPr>
        <w:t> </w:t>
      </w:r>
      <w:r>
        <w:rPr/>
        <w:t>Financial</w:t>
      </w:r>
      <w:r>
        <w:rPr>
          <w:spacing w:val="2"/>
        </w:rPr>
        <w:t> </w:t>
      </w:r>
      <w:r>
        <w:rPr/>
        <w:t>organizations</w:t>
      </w:r>
      <w:r>
        <w:rPr>
          <w:spacing w:val="-1"/>
        </w:rPr>
        <w:t> </w:t>
      </w:r>
      <w:r>
        <w:rPr/>
        <w:t>processing</w:t>
      </w:r>
      <w:r>
        <w:rPr>
          <w:spacing w:val="-1"/>
        </w:rPr>
        <w:t> </w:t>
      </w:r>
      <w:r>
        <w:rPr>
          <w:spacing w:val="-4"/>
        </w:rPr>
        <w:t>over</w:t>
      </w:r>
    </w:p>
    <w:p>
      <w:pPr>
        <w:pStyle w:val="BodyText"/>
        <w:ind w:right="39"/>
      </w:pPr>
      <w:r>
        <w:rPr/>
        <w:t>1.2 trillion electronic payment transactions annually</w:t>
      </w:r>
      <w:r>
        <w:rPr>
          <w:spacing w:val="-4"/>
        </w:rPr>
        <w:t> </w:t>
      </w:r>
      <w:r>
        <w:rPr/>
        <w:t>must</w:t>
      </w:r>
      <w:r>
        <w:rPr>
          <w:spacing w:val="-1"/>
        </w:rPr>
        <w:t> </w:t>
      </w:r>
      <w:r>
        <w:rPr/>
        <w:t>maintain</w:t>
      </w:r>
      <w:r>
        <w:rPr>
          <w:spacing w:val="-2"/>
        </w:rPr>
        <w:t> </w:t>
      </w:r>
      <w:r>
        <w:rPr/>
        <w:t>99.999%</w:t>
      </w:r>
      <w:r>
        <w:rPr>
          <w:spacing w:val="-3"/>
        </w:rPr>
        <w:t> </w:t>
      </w:r>
      <w:r>
        <w:rPr/>
        <w:t>availability</w:t>
      </w:r>
      <w:r>
        <w:rPr>
          <w:spacing w:val="-4"/>
        </w:rPr>
        <w:t> </w:t>
      </w:r>
      <w:r>
        <w:rPr/>
        <w:t>while ensuring end-to-end data protection across integration points with latency thresholds</w:t>
      </w:r>
      <w:r>
        <w:rPr>
          <w:spacing w:val="40"/>
        </w:rPr>
        <w:t> </w:t>
      </w:r>
      <w:r>
        <w:rPr/>
        <w:t>averaging</w:t>
      </w:r>
      <w:r>
        <w:rPr>
          <w:spacing w:val="60"/>
        </w:rPr>
        <w:t>  </w:t>
      </w:r>
      <w:r>
        <w:rPr/>
        <w:t>54</w:t>
      </w:r>
      <w:r>
        <w:rPr>
          <w:spacing w:val="62"/>
        </w:rPr>
        <w:t>  </w:t>
      </w:r>
      <w:r>
        <w:rPr/>
        <w:t>milliseconds</w:t>
      </w:r>
      <w:r>
        <w:rPr>
          <w:spacing w:val="62"/>
        </w:rPr>
        <w:t>  </w:t>
      </w:r>
      <w:r>
        <w:rPr/>
        <w:t>for</w:t>
      </w:r>
      <w:r>
        <w:rPr>
          <w:spacing w:val="62"/>
        </w:rPr>
        <w:t>  </w:t>
      </w:r>
      <w:r>
        <w:rPr>
          <w:spacing w:val="-2"/>
        </w:rPr>
        <w:t>synchronous</w:t>
      </w:r>
    </w:p>
    <w:p>
      <w:pPr>
        <w:pStyle w:val="BodyText"/>
        <w:ind w:right="224"/>
      </w:pPr>
      <w:r>
        <w:rPr/>
        <w:br w:type="column"/>
      </w:r>
      <w:r>
        <w:rPr/>
        <w:t>operations (Finastra, 2025).</w:t>
      </w:r>
      <w:r>
        <w:rPr>
          <w:spacing w:val="-1"/>
        </w:rPr>
        <w:t> </w:t>
      </w:r>
      <w:r>
        <w:rPr/>
        <w:t>Modern</w:t>
      </w:r>
      <w:r>
        <w:rPr>
          <w:spacing w:val="-1"/>
        </w:rPr>
        <w:t> </w:t>
      </w:r>
      <w:r>
        <w:rPr/>
        <w:t>Banking-as-a- Service (BaaS) implementations, which have grown 88% year-over-year, introduce additional complexity</w:t>
      </w:r>
      <w:r>
        <w:rPr>
          <w:spacing w:val="-8"/>
        </w:rPr>
        <w:t> </w:t>
      </w:r>
      <w:r>
        <w:rPr/>
        <w:t>with</w:t>
      </w:r>
      <w:r>
        <w:rPr>
          <w:spacing w:val="-5"/>
        </w:rPr>
        <w:t> </w:t>
      </w:r>
      <w:r>
        <w:rPr/>
        <w:t>87%</w:t>
      </w:r>
      <w:r>
        <w:rPr>
          <w:spacing w:val="-5"/>
        </w:rPr>
        <w:t> </w:t>
      </w:r>
      <w:r>
        <w:rPr/>
        <w:t>of</w:t>
      </w:r>
      <w:r>
        <w:rPr>
          <w:spacing w:val="-7"/>
        </w:rPr>
        <w:t> </w:t>
      </w:r>
      <w:r>
        <w:rPr/>
        <w:t>implementations</w:t>
      </w:r>
      <w:r>
        <w:rPr>
          <w:spacing w:val="-5"/>
        </w:rPr>
        <w:t> </w:t>
      </w:r>
      <w:r>
        <w:rPr/>
        <w:t>requiring fine-grained field-level security across integration boundaries (Gos, M. &amp; Spiridon, S.).</w:t>
      </w:r>
    </w:p>
    <w:p>
      <w:pPr>
        <w:pStyle w:val="BodyText"/>
        <w:spacing w:before="130"/>
        <w:ind w:right="224"/>
      </w:pPr>
      <w:r>
        <w:rPr/>
        <w:t>CRM-to-ERP integrations present substantial vulnerabilities, with 72% of financial institutions reporting security incidents at these boundaries, while payment gateway integrations show even greater risk, with 89% of organizations experiencing attempted breaches at these junctures (Finastra, 2025). The complexity multiplies in global operations, where cross-border data</w:t>
      </w:r>
      <w:r>
        <w:rPr>
          <w:spacing w:val="40"/>
        </w:rPr>
        <w:t> </w:t>
      </w:r>
      <w:r>
        <w:rPr/>
        <w:t>transfers trigger jurisdiction-specific requirements across an average of 13.4 regulatory frameworks per multinational financial entity, with 76% of organizations implementing dynamic data transformation rules to address these variations (Finastra, 2025). Financial institutions with embedded finance offerings typically integrate</w:t>
      </w:r>
      <w:r>
        <w:rPr>
          <w:spacing w:val="40"/>
        </w:rPr>
        <w:t> </w:t>
      </w:r>
      <w:r>
        <w:rPr/>
        <w:t>with 23-47 third-party services, each requiring distinct security protocols and presenting unique compliance challenges (Gos, M. &amp; Spiridon, S.).</w:t>
      </w:r>
    </w:p>
    <w:p>
      <w:pPr>
        <w:pStyle w:val="BodyText"/>
        <w:spacing w:before="139"/>
        <w:ind w:right="224"/>
      </w:pPr>
      <w:r>
        <w:rPr/>
        <w:t>Modern financial architectures have evolved dramatically,</w:t>
      </w:r>
      <w:r>
        <w:rPr>
          <w:spacing w:val="-1"/>
        </w:rPr>
        <w:t> </w:t>
      </w:r>
      <w:r>
        <w:rPr/>
        <w:t>with</w:t>
      </w:r>
      <w:r>
        <w:rPr>
          <w:spacing w:val="-3"/>
        </w:rPr>
        <w:t> </w:t>
      </w:r>
      <w:r>
        <w:rPr/>
        <w:t>78%</w:t>
      </w:r>
      <w:r>
        <w:rPr>
          <w:spacing w:val="-2"/>
        </w:rPr>
        <w:t> </w:t>
      </w:r>
      <w:r>
        <w:rPr/>
        <w:t>of</w:t>
      </w:r>
      <w:r>
        <w:rPr>
          <w:spacing w:val="-2"/>
        </w:rPr>
        <w:t> </w:t>
      </w:r>
      <w:r>
        <w:rPr/>
        <w:t>institutions</w:t>
      </w:r>
      <w:r>
        <w:rPr>
          <w:spacing w:val="-3"/>
        </w:rPr>
        <w:t> </w:t>
      </w:r>
      <w:r>
        <w:rPr/>
        <w:t>transitioning from monolithic systems to microservice ecosystems over the past 36 months, resulting in</w:t>
      </w:r>
      <w:r>
        <w:rPr>
          <w:spacing w:val="40"/>
        </w:rPr>
        <w:t> </w:t>
      </w:r>
      <w:r>
        <w:rPr/>
        <w:t>an average of 236 distinct API integrations per organization (Gos, M. &amp; Spiridon, S.). This architectural</w:t>
      </w:r>
      <w:r>
        <w:rPr>
          <w:spacing w:val="13"/>
        </w:rPr>
        <w:t> </w:t>
      </w:r>
      <w:r>
        <w:rPr/>
        <w:t>shift</w:t>
      </w:r>
      <w:r>
        <w:rPr>
          <w:spacing w:val="14"/>
        </w:rPr>
        <w:t> </w:t>
      </w:r>
      <w:r>
        <w:rPr/>
        <w:t>has</w:t>
      </w:r>
      <w:r>
        <w:rPr>
          <w:spacing w:val="14"/>
        </w:rPr>
        <w:t> </w:t>
      </w:r>
      <w:r>
        <w:rPr/>
        <w:t>increased</w:t>
      </w:r>
      <w:r>
        <w:rPr>
          <w:spacing w:val="14"/>
        </w:rPr>
        <w:t> </w:t>
      </w:r>
      <w:r>
        <w:rPr/>
        <w:t>attack</w:t>
      </w:r>
      <w:r>
        <w:rPr>
          <w:spacing w:val="11"/>
        </w:rPr>
        <w:t> </w:t>
      </w:r>
      <w:r>
        <w:rPr/>
        <w:t>surfaces</w:t>
      </w:r>
      <w:r>
        <w:rPr>
          <w:spacing w:val="14"/>
        </w:rPr>
        <w:t> </w:t>
      </w:r>
      <w:r>
        <w:rPr>
          <w:spacing w:val="-5"/>
        </w:rPr>
        <w:t>by</w:t>
      </w:r>
    </w:p>
    <w:p>
      <w:pPr>
        <w:pStyle w:val="BodyText"/>
        <w:spacing w:after="0"/>
        <w:sectPr>
          <w:type w:val="continuous"/>
          <w:pgSz w:w="11910" w:h="16840"/>
          <w:pgMar w:header="0" w:footer="1033" w:top="440" w:bottom="1220" w:left="850" w:right="850"/>
          <w:cols w:num="2" w:equalWidth="0">
            <w:col w:w="4794" w:space="435"/>
            <w:col w:w="4981"/>
          </w:cols>
        </w:sectPr>
      </w:pPr>
    </w:p>
    <w:p>
      <w:pPr>
        <w:pStyle w:val="BodyText"/>
        <w:spacing w:before="14"/>
        <w:ind w:left="0"/>
        <w:jc w:val="left"/>
        <w:rPr>
          <w:sz w:val="20"/>
        </w:rPr>
      </w:pPr>
    </w:p>
    <w:p>
      <w:pPr>
        <w:pStyle w:val="BodyText"/>
        <w:spacing w:line="20" w:lineRule="exact"/>
        <w:ind w:left="201"/>
        <w:jc w:val="left"/>
        <w:rPr>
          <w:sz w:val="2"/>
        </w:rPr>
      </w:pPr>
      <w:r>
        <w:rPr>
          <w:sz w:val="2"/>
        </w:rPr>
        <mc:AlternateContent>
          <mc:Choice Requires="wps">
            <w:drawing>
              <wp:inline distT="0" distB="0" distL="0" distR="0">
                <wp:extent cx="6227445"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6227445" cy="12700"/>
                          <a:chExt cx="6227445" cy="12700"/>
                        </a:xfrm>
                      </wpg:grpSpPr>
                      <wps:wsp>
                        <wps:cNvPr id="9" name="Graphic 9"/>
                        <wps:cNvSpPr/>
                        <wps:spPr>
                          <a:xfrm>
                            <a:off x="0" y="0"/>
                            <a:ext cx="6227445" cy="12700"/>
                          </a:xfrm>
                          <a:custGeom>
                            <a:avLst/>
                            <a:gdLst/>
                            <a:ahLst/>
                            <a:cxnLst/>
                            <a:rect l="l" t="t" r="r" b="b"/>
                            <a:pathLst>
                              <a:path w="6227445" h="12700">
                                <a:moveTo>
                                  <a:pt x="6227064" y="0"/>
                                </a:moveTo>
                                <a:lnTo>
                                  <a:pt x="0" y="0"/>
                                </a:lnTo>
                                <a:lnTo>
                                  <a:pt x="0" y="12191"/>
                                </a:lnTo>
                                <a:lnTo>
                                  <a:pt x="6227064" y="12191"/>
                                </a:lnTo>
                                <a:lnTo>
                                  <a:pt x="6227064" y="0"/>
                                </a:lnTo>
                                <a:close/>
                              </a:path>
                            </a:pathLst>
                          </a:custGeom>
                          <a:solidFill>
                            <a:srgbClr val="17365D"/>
                          </a:solidFill>
                        </wps:spPr>
                        <wps:bodyPr wrap="square" lIns="0" tIns="0" rIns="0" bIns="0" rtlCol="0">
                          <a:prstTxWarp prst="textNoShape">
                            <a:avLst/>
                          </a:prstTxWarp>
                          <a:noAutofit/>
                        </wps:bodyPr>
                      </wps:wsp>
                    </wpg:wgp>
                  </a:graphicData>
                </a:graphic>
              </wp:inline>
            </w:drawing>
          </mc:Choice>
          <mc:Fallback>
            <w:pict>
              <v:group style="width:490.35pt;height:1pt;mso-position-horizontal-relative:char;mso-position-vertical-relative:line" id="docshapegroup6" coordorigin="0,0" coordsize="9807,20">
                <v:rect style="position:absolute;left:0;top:0;width:9807;height:20" id="docshape7" filled="true" fillcolor="#17365d" stroked="false">
                  <v:fill type="solid"/>
                </v:rect>
              </v:group>
            </w:pict>
          </mc:Fallback>
        </mc:AlternateContent>
      </w:r>
      <w:r>
        <w:rPr>
          <w:sz w:val="2"/>
        </w:rPr>
      </w:r>
    </w:p>
    <w:p>
      <w:pPr>
        <w:pStyle w:val="BodyText"/>
        <w:spacing w:after="0" w:line="20" w:lineRule="exact"/>
        <w:jc w:val="left"/>
        <w:rPr>
          <w:sz w:val="2"/>
        </w:rPr>
        <w:sectPr>
          <w:type w:val="continuous"/>
          <w:pgSz w:w="11910" w:h="16840"/>
          <w:pgMar w:header="0" w:footer="1033" w:top="440" w:bottom="1220" w:left="850" w:right="850"/>
        </w:sectPr>
      </w:pPr>
    </w:p>
    <w:p>
      <w:pPr>
        <w:spacing w:line="25" w:lineRule="exact" w:before="35"/>
        <w:ind w:left="348" w:right="0" w:firstLine="0"/>
        <w:jc w:val="left"/>
        <w:rPr>
          <w:rFonts w:ascii="Cambria" w:hAnsi="Cambria"/>
          <w:sz w:val="15"/>
        </w:rPr>
      </w:pPr>
      <w:r>
        <w:rPr>
          <w:rFonts w:ascii="Cambria" w:hAnsi="Cambria"/>
          <w:w w:val="105"/>
          <w:sz w:val="15"/>
        </w:rPr>
        <w:t>Copyright</w:t>
      </w:r>
      <w:r>
        <w:rPr>
          <w:rFonts w:ascii="Cambria" w:hAnsi="Cambria"/>
          <w:spacing w:val="-6"/>
          <w:w w:val="105"/>
          <w:sz w:val="15"/>
        </w:rPr>
        <w:t> </w:t>
      </w:r>
      <w:r>
        <w:rPr>
          <w:rFonts w:ascii="Cambria" w:hAnsi="Cambria"/>
          <w:w w:val="105"/>
          <w:sz w:val="15"/>
        </w:rPr>
        <w:t>©</w:t>
      </w:r>
      <w:r>
        <w:rPr>
          <w:rFonts w:ascii="Cambria" w:hAnsi="Cambria"/>
          <w:spacing w:val="-9"/>
          <w:w w:val="105"/>
          <w:sz w:val="15"/>
        </w:rPr>
        <w:t> </w:t>
      </w:r>
      <w:r>
        <w:rPr>
          <w:rFonts w:ascii="Cambria" w:hAnsi="Cambria"/>
          <w:w w:val="105"/>
          <w:sz w:val="15"/>
        </w:rPr>
        <w:t>2022</w:t>
      </w:r>
      <w:r>
        <w:rPr>
          <w:rFonts w:ascii="Cambria" w:hAnsi="Cambria"/>
          <w:spacing w:val="-6"/>
          <w:w w:val="105"/>
          <w:sz w:val="15"/>
        </w:rPr>
        <w:t> </w:t>
      </w:r>
      <w:r>
        <w:rPr>
          <w:rFonts w:ascii="Cambria" w:hAnsi="Cambria"/>
          <w:w w:val="105"/>
          <w:sz w:val="15"/>
        </w:rPr>
        <w:t>The</w:t>
      </w:r>
      <w:r>
        <w:rPr>
          <w:rFonts w:ascii="Cambria" w:hAnsi="Cambria"/>
          <w:spacing w:val="-6"/>
          <w:w w:val="105"/>
          <w:sz w:val="15"/>
        </w:rPr>
        <w:t> </w:t>
      </w:r>
      <w:r>
        <w:rPr>
          <w:rFonts w:ascii="Cambria" w:hAnsi="Cambria"/>
          <w:w w:val="105"/>
          <w:sz w:val="15"/>
        </w:rPr>
        <w:t>Author(s):</w:t>
      </w:r>
      <w:r>
        <w:rPr>
          <w:rFonts w:ascii="Cambria" w:hAnsi="Cambria"/>
          <w:spacing w:val="-7"/>
          <w:w w:val="105"/>
          <w:sz w:val="15"/>
        </w:rPr>
        <w:t> </w:t>
      </w:r>
      <w:r>
        <w:rPr>
          <w:rFonts w:ascii="Cambria" w:hAnsi="Cambria"/>
          <w:w w:val="105"/>
          <w:sz w:val="15"/>
        </w:rPr>
        <w:t>This</w:t>
      </w:r>
      <w:r>
        <w:rPr>
          <w:rFonts w:ascii="Cambria" w:hAnsi="Cambria"/>
          <w:spacing w:val="-7"/>
          <w:w w:val="105"/>
          <w:sz w:val="15"/>
        </w:rPr>
        <w:t> </w:t>
      </w:r>
      <w:r>
        <w:rPr>
          <w:rFonts w:ascii="Cambria" w:hAnsi="Cambria"/>
          <w:w w:val="105"/>
          <w:sz w:val="15"/>
        </w:rPr>
        <w:t>work</w:t>
      </w:r>
      <w:r>
        <w:rPr>
          <w:rFonts w:ascii="Cambria" w:hAnsi="Cambria"/>
          <w:spacing w:val="-7"/>
          <w:w w:val="105"/>
          <w:sz w:val="15"/>
        </w:rPr>
        <w:t> </w:t>
      </w:r>
      <w:r>
        <w:rPr>
          <w:rFonts w:ascii="Cambria" w:hAnsi="Cambria"/>
          <w:w w:val="105"/>
          <w:sz w:val="15"/>
        </w:rPr>
        <w:t>is</w:t>
      </w:r>
      <w:r>
        <w:rPr>
          <w:rFonts w:ascii="Cambria" w:hAnsi="Cambria"/>
          <w:spacing w:val="-6"/>
          <w:w w:val="105"/>
          <w:sz w:val="15"/>
        </w:rPr>
        <w:t> </w:t>
      </w:r>
      <w:r>
        <w:rPr>
          <w:rFonts w:ascii="Cambria" w:hAnsi="Cambria"/>
          <w:w w:val="105"/>
          <w:sz w:val="15"/>
        </w:rPr>
        <w:t>licensed</w:t>
      </w:r>
      <w:r>
        <w:rPr>
          <w:rFonts w:ascii="Cambria" w:hAnsi="Cambria"/>
          <w:spacing w:val="-8"/>
          <w:w w:val="105"/>
          <w:sz w:val="15"/>
        </w:rPr>
        <w:t> </w:t>
      </w:r>
      <w:r>
        <w:rPr>
          <w:rFonts w:ascii="Cambria" w:hAnsi="Cambria"/>
          <w:w w:val="105"/>
          <w:sz w:val="15"/>
        </w:rPr>
        <w:t>under</w:t>
      </w:r>
      <w:r>
        <w:rPr>
          <w:rFonts w:ascii="Cambria" w:hAnsi="Cambria"/>
          <w:spacing w:val="-7"/>
          <w:w w:val="105"/>
          <w:sz w:val="15"/>
        </w:rPr>
        <w:t> </w:t>
      </w:r>
      <w:r>
        <w:rPr>
          <w:rFonts w:ascii="Cambria" w:hAnsi="Cambria"/>
          <w:w w:val="105"/>
          <w:sz w:val="15"/>
        </w:rPr>
        <w:t>a</w:t>
      </w:r>
      <w:r>
        <w:rPr>
          <w:rFonts w:ascii="Cambria" w:hAnsi="Cambria"/>
          <w:spacing w:val="-6"/>
          <w:w w:val="105"/>
          <w:sz w:val="15"/>
        </w:rPr>
        <w:t> </w:t>
      </w:r>
      <w:r>
        <w:rPr>
          <w:rFonts w:ascii="Cambria" w:hAnsi="Cambria"/>
          <w:w w:val="105"/>
          <w:sz w:val="15"/>
        </w:rPr>
        <w:t>Creative</w:t>
      </w:r>
      <w:r>
        <w:rPr>
          <w:rFonts w:ascii="Cambria" w:hAnsi="Cambria"/>
          <w:spacing w:val="-9"/>
          <w:w w:val="105"/>
          <w:sz w:val="15"/>
        </w:rPr>
        <w:t> </w:t>
      </w:r>
      <w:r>
        <w:rPr>
          <w:rFonts w:ascii="Cambria" w:hAnsi="Cambria"/>
          <w:w w:val="105"/>
          <w:sz w:val="15"/>
        </w:rPr>
        <w:t>Commons</w:t>
      </w:r>
      <w:r>
        <w:rPr>
          <w:rFonts w:ascii="Cambria" w:hAnsi="Cambria"/>
          <w:spacing w:val="-7"/>
          <w:w w:val="105"/>
          <w:sz w:val="15"/>
        </w:rPr>
        <w:t> </w:t>
      </w:r>
      <w:r>
        <w:rPr>
          <w:rFonts w:ascii="Cambria" w:hAnsi="Cambria"/>
          <w:w w:val="105"/>
          <w:sz w:val="15"/>
        </w:rPr>
        <w:t>Attribution-</w:t>
      </w:r>
      <w:r>
        <w:rPr>
          <w:rFonts w:ascii="Cambria" w:hAnsi="Cambria"/>
          <w:spacing w:val="4"/>
          <w:w w:val="105"/>
          <w:sz w:val="15"/>
        </w:rPr>
        <w:t> </w:t>
      </w:r>
      <w:r>
        <w:rPr>
          <w:rFonts w:ascii="Cambria" w:hAnsi="Cambria"/>
          <w:w w:val="105"/>
          <w:sz w:val="15"/>
        </w:rPr>
        <w:t>NonCommercial-NoDerivatives</w:t>
      </w:r>
      <w:r>
        <w:rPr>
          <w:rFonts w:ascii="Cambria" w:hAnsi="Cambria"/>
          <w:spacing w:val="-6"/>
          <w:w w:val="105"/>
          <w:sz w:val="15"/>
        </w:rPr>
        <w:t> </w:t>
      </w:r>
      <w:r>
        <w:rPr>
          <w:rFonts w:ascii="Cambria" w:hAnsi="Cambria"/>
          <w:spacing w:val="-5"/>
          <w:w w:val="105"/>
          <w:sz w:val="15"/>
        </w:rPr>
        <w:t>4.0</w:t>
      </w:r>
    </w:p>
    <w:p>
      <w:pPr>
        <w:pStyle w:val="Heading3"/>
        <w:spacing w:line="39" w:lineRule="exact" w:before="20"/>
        <w:ind w:left="348"/>
      </w:pPr>
      <w:r>
        <w:rPr/>
        <w:br w:type="column"/>
      </w:r>
      <w:r>
        <w:rPr>
          <w:spacing w:val="-4"/>
        </w:rPr>
        <w:t>1366</w:t>
      </w:r>
    </w:p>
    <w:p>
      <w:pPr>
        <w:pStyle w:val="Heading3"/>
        <w:spacing w:after="0" w:line="39" w:lineRule="exact"/>
        <w:sectPr>
          <w:type w:val="continuous"/>
          <w:pgSz w:w="11910" w:h="16840"/>
          <w:pgMar w:header="0" w:footer="1033" w:top="440" w:bottom="1220" w:left="850" w:right="850"/>
          <w:cols w:num="2" w:equalWidth="0">
            <w:col w:w="9080" w:space="70"/>
            <w:col w:w="1060"/>
          </w:cols>
        </w:sectPr>
      </w:pPr>
    </w:p>
    <w:p>
      <w:pPr>
        <w:pStyle w:val="BodyText"/>
        <w:spacing w:before="165"/>
        <w:ind w:right="38"/>
      </w:pPr>
      <w:r>
        <w:rPr/>
        <mc:AlternateContent>
          <mc:Choice Requires="wps">
            <w:drawing>
              <wp:anchor distT="0" distB="0" distL="0" distR="0" allowOverlap="1" layoutInCell="1" locked="0" behindDoc="0" simplePos="0" relativeHeight="15732224">
                <wp:simplePos x="0" y="0"/>
                <wp:positionH relativeFrom="page">
                  <wp:posOffset>667512</wp:posOffset>
                </wp:positionH>
                <wp:positionV relativeFrom="paragraph">
                  <wp:posOffset>76351</wp:posOffset>
                </wp:positionV>
                <wp:extent cx="6227445" cy="127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2224" id="docshape13" filled="true" fillcolor="#17365d" stroked="false">
                <v:fill type="solid"/>
                <w10:wrap type="none"/>
              </v:rect>
            </w:pict>
          </mc:Fallback>
        </mc:AlternateContent>
      </w:r>
      <w:r>
        <w:rPr/>
        <w:t>approximately</w:t>
      </w:r>
      <w:r>
        <w:rPr>
          <w:spacing w:val="-1"/>
        </w:rPr>
        <w:t> </w:t>
      </w:r>
      <w:r>
        <w:rPr/>
        <w:t>41% while simultaneously</w:t>
      </w:r>
      <w:r>
        <w:rPr>
          <w:spacing w:val="-4"/>
        </w:rPr>
        <w:t> </w:t>
      </w:r>
      <w:r>
        <w:rPr/>
        <w:t>reducing development cycles by 68%, creating tension between security and agility objectives (Finastra, 2025). Hub-and-spoke integration models demonstrate 37% greater security control consistency</w:t>
      </w:r>
      <w:r>
        <w:rPr>
          <w:spacing w:val="-6"/>
        </w:rPr>
        <w:t> </w:t>
      </w:r>
      <w:r>
        <w:rPr/>
        <w:t>than</w:t>
      </w:r>
      <w:r>
        <w:rPr>
          <w:spacing w:val="-4"/>
        </w:rPr>
        <w:t> </w:t>
      </w:r>
      <w:r>
        <w:rPr/>
        <w:t>point-to-point</w:t>
      </w:r>
      <w:r>
        <w:rPr>
          <w:spacing w:val="-5"/>
        </w:rPr>
        <w:t> </w:t>
      </w:r>
      <w:r>
        <w:rPr/>
        <w:t>approaches,</w:t>
      </w:r>
      <w:r>
        <w:rPr>
          <w:spacing w:val="-6"/>
        </w:rPr>
        <w:t> </w:t>
      </w:r>
      <w:r>
        <w:rPr/>
        <w:t>though the latter still predominate in 57% of payment processing</w:t>
      </w:r>
      <w:r>
        <w:rPr>
          <w:spacing w:val="56"/>
          <w:w w:val="150"/>
        </w:rPr>
        <w:t> </w:t>
      </w:r>
      <w:r>
        <w:rPr/>
        <w:t>integrations</w:t>
      </w:r>
      <w:r>
        <w:rPr>
          <w:spacing w:val="60"/>
          <w:w w:val="150"/>
        </w:rPr>
        <w:t> </w:t>
      </w:r>
      <w:r>
        <w:rPr/>
        <w:t>where</w:t>
      </w:r>
      <w:r>
        <w:rPr>
          <w:spacing w:val="58"/>
          <w:w w:val="150"/>
        </w:rPr>
        <w:t> </w:t>
      </w:r>
      <w:r>
        <w:rPr/>
        <w:t>latency</w:t>
      </w:r>
      <w:r>
        <w:rPr>
          <w:spacing w:val="57"/>
          <w:w w:val="150"/>
        </w:rPr>
        <w:t> </w:t>
      </w:r>
      <w:r>
        <w:rPr>
          <w:spacing w:val="-2"/>
        </w:rPr>
        <w:t>concerns</w:t>
      </w:r>
    </w:p>
    <w:p>
      <w:pPr>
        <w:pStyle w:val="BodyText"/>
        <w:spacing w:before="165"/>
        <w:ind w:right="227"/>
      </w:pPr>
      <w:r>
        <w:rPr/>
        <w:br w:type="column"/>
      </w:r>
      <w:r>
        <w:rPr/>
        <w:t>average 23 milliseconds per additional node (Finastra, 2025). Open banking initiatives have accelerated this transition,</w:t>
      </w:r>
      <w:r>
        <w:rPr>
          <w:spacing w:val="-1"/>
        </w:rPr>
        <w:t> </w:t>
      </w:r>
      <w:r>
        <w:rPr/>
        <w:t>with 92% of institutions implementing specialized API security gateways that enforce standardized security controls across an average of 18 externally exposed endpoints per organization (Gos, M. &amp; Spiridon, S.).</w:t>
      </w:r>
    </w:p>
    <w:p>
      <w:pPr>
        <w:pStyle w:val="BodyText"/>
        <w:spacing w:after="0"/>
        <w:sectPr>
          <w:headerReference w:type="default" r:id="rId8"/>
          <w:footerReference w:type="default" r:id="rId9"/>
          <w:pgSz w:w="11910" w:h="16840"/>
          <w:pgMar w:header="1025" w:footer="1033" w:top="1260" w:bottom="1220" w:left="850" w:right="850"/>
          <w:pgNumType w:start="1367"/>
          <w:cols w:num="2" w:equalWidth="0">
            <w:col w:w="4792" w:space="437"/>
            <w:col w:w="4981"/>
          </w:cols>
        </w:sectPr>
      </w:pPr>
    </w:p>
    <w:p>
      <w:pPr>
        <w:pStyle w:val="BodyText"/>
        <w:spacing w:before="138" w:after="6"/>
        <w:ind w:left="948"/>
        <w:jc w:val="left"/>
      </w:pPr>
      <w:r>
        <w:rPr>
          <w:b/>
        </w:rPr>
        <w:t>Table</w:t>
      </w:r>
      <w:r>
        <w:rPr>
          <w:b/>
          <w:spacing w:val="-3"/>
        </w:rPr>
        <w:t> </w:t>
      </w:r>
      <w:r>
        <w:rPr>
          <w:b/>
        </w:rPr>
        <w:t>1</w:t>
      </w:r>
      <w:r>
        <w:rPr/>
        <w:t>:</w:t>
      </w:r>
      <w:r>
        <w:rPr>
          <w:spacing w:val="-3"/>
        </w:rPr>
        <w:t> </w:t>
      </w:r>
      <w:r>
        <w:rPr/>
        <w:t>Financial</w:t>
      </w:r>
      <w:r>
        <w:rPr>
          <w:spacing w:val="-2"/>
        </w:rPr>
        <w:t> </w:t>
      </w:r>
      <w:r>
        <w:rPr/>
        <w:t>Integration</w:t>
      </w:r>
      <w:r>
        <w:rPr>
          <w:spacing w:val="-4"/>
        </w:rPr>
        <w:t> </w:t>
      </w:r>
      <w:r>
        <w:rPr/>
        <w:t>Landscape</w:t>
      </w:r>
      <w:r>
        <w:rPr>
          <w:spacing w:val="-5"/>
        </w:rPr>
        <w:t> </w:t>
      </w:r>
      <w:r>
        <w:rPr/>
        <w:t>Complexity</w:t>
      </w:r>
      <w:r>
        <w:rPr>
          <w:spacing w:val="-3"/>
        </w:rPr>
        <w:t> </w:t>
      </w:r>
      <w:r>
        <w:rPr/>
        <w:t>(Gos,</w:t>
      </w:r>
      <w:r>
        <w:rPr>
          <w:spacing w:val="-3"/>
        </w:rPr>
        <w:t> </w:t>
      </w:r>
      <w:r>
        <w:rPr/>
        <w:t>M.</w:t>
      </w:r>
      <w:r>
        <w:rPr>
          <w:spacing w:val="-3"/>
        </w:rPr>
        <w:t> </w:t>
      </w:r>
      <w:r>
        <w:rPr/>
        <w:t>&amp;</w:t>
      </w:r>
      <w:r>
        <w:rPr>
          <w:spacing w:val="-6"/>
        </w:rPr>
        <w:t> </w:t>
      </w:r>
      <w:r>
        <w:rPr/>
        <w:t>Spiridon,</w:t>
      </w:r>
      <w:r>
        <w:rPr>
          <w:spacing w:val="-2"/>
        </w:rPr>
        <w:t> </w:t>
      </w:r>
      <w:r>
        <w:rPr/>
        <w:t>S;</w:t>
      </w:r>
      <w:r>
        <w:rPr>
          <w:spacing w:val="-3"/>
        </w:rPr>
        <w:t> </w:t>
      </w:r>
      <w:r>
        <w:rPr/>
        <w:t>Finastra,</w:t>
      </w:r>
      <w:r>
        <w:rPr>
          <w:spacing w:val="-2"/>
        </w:rPr>
        <w:t> 2025)</w:t>
      </w:r>
    </w:p>
    <w:tbl>
      <w:tblPr>
        <w:tblW w:w="0" w:type="auto"/>
        <w:jc w:val="left"/>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6"/>
        <w:gridCol w:w="828"/>
      </w:tblGrid>
      <w:tr>
        <w:trPr>
          <w:trHeight w:val="254" w:hRule="atLeast"/>
        </w:trPr>
        <w:tc>
          <w:tcPr>
            <w:tcW w:w="6486" w:type="dxa"/>
          </w:tcPr>
          <w:p>
            <w:pPr>
              <w:pStyle w:val="TableParagraph"/>
              <w:ind w:left="8"/>
              <w:jc w:val="center"/>
              <w:rPr>
                <w:b/>
                <w:sz w:val="22"/>
              </w:rPr>
            </w:pPr>
            <w:r>
              <w:rPr>
                <w:b/>
                <w:spacing w:val="-2"/>
                <w:sz w:val="22"/>
              </w:rPr>
              <w:t>Metric</w:t>
            </w:r>
          </w:p>
        </w:tc>
        <w:tc>
          <w:tcPr>
            <w:tcW w:w="828" w:type="dxa"/>
          </w:tcPr>
          <w:p>
            <w:pPr>
              <w:pStyle w:val="TableParagraph"/>
              <w:ind w:left="12"/>
              <w:jc w:val="center"/>
              <w:rPr>
                <w:b/>
                <w:sz w:val="22"/>
              </w:rPr>
            </w:pPr>
            <w:r>
              <w:rPr>
                <w:b/>
                <w:spacing w:val="-2"/>
                <w:sz w:val="22"/>
              </w:rPr>
              <w:t>Value</w:t>
            </w:r>
          </w:p>
        </w:tc>
      </w:tr>
      <w:tr>
        <w:trPr>
          <w:trHeight w:val="251" w:hRule="atLeast"/>
        </w:trPr>
        <w:tc>
          <w:tcPr>
            <w:tcW w:w="6486" w:type="dxa"/>
          </w:tcPr>
          <w:p>
            <w:pPr>
              <w:pStyle w:val="TableParagraph"/>
              <w:spacing w:line="232" w:lineRule="exact"/>
              <w:ind w:left="107"/>
              <w:rPr>
                <w:sz w:val="22"/>
              </w:rPr>
            </w:pPr>
            <w:r>
              <w:rPr>
                <w:sz w:val="22"/>
              </w:rPr>
              <w:t>Average</w:t>
            </w:r>
            <w:r>
              <w:rPr>
                <w:spacing w:val="-5"/>
                <w:sz w:val="22"/>
              </w:rPr>
              <w:t> </w:t>
            </w:r>
            <w:r>
              <w:rPr>
                <w:sz w:val="22"/>
              </w:rPr>
              <w:t>applications</w:t>
            </w:r>
            <w:r>
              <w:rPr>
                <w:spacing w:val="-5"/>
                <w:sz w:val="22"/>
              </w:rPr>
              <w:t> </w:t>
            </w:r>
            <w:r>
              <w:rPr>
                <w:sz w:val="22"/>
              </w:rPr>
              <w:t>per</w:t>
            </w:r>
            <w:r>
              <w:rPr>
                <w:spacing w:val="-5"/>
                <w:sz w:val="22"/>
              </w:rPr>
              <w:t> </w:t>
            </w:r>
            <w:r>
              <w:rPr>
                <w:spacing w:val="-2"/>
                <w:sz w:val="22"/>
              </w:rPr>
              <w:t>enterprise</w:t>
            </w:r>
          </w:p>
        </w:tc>
        <w:tc>
          <w:tcPr>
            <w:tcW w:w="828" w:type="dxa"/>
          </w:tcPr>
          <w:p>
            <w:pPr>
              <w:pStyle w:val="TableParagraph"/>
              <w:spacing w:line="232" w:lineRule="exact"/>
              <w:ind w:left="12" w:right="4"/>
              <w:jc w:val="center"/>
              <w:rPr>
                <w:sz w:val="22"/>
              </w:rPr>
            </w:pPr>
            <w:r>
              <w:rPr>
                <w:spacing w:val="-5"/>
                <w:sz w:val="22"/>
              </w:rPr>
              <w:t>367</w:t>
            </w:r>
          </w:p>
        </w:tc>
      </w:tr>
      <w:tr>
        <w:trPr>
          <w:trHeight w:val="253" w:hRule="atLeast"/>
        </w:trPr>
        <w:tc>
          <w:tcPr>
            <w:tcW w:w="6486" w:type="dxa"/>
          </w:tcPr>
          <w:p>
            <w:pPr>
              <w:pStyle w:val="TableParagraph"/>
              <w:ind w:left="107"/>
              <w:rPr>
                <w:sz w:val="22"/>
              </w:rPr>
            </w:pPr>
            <w:r>
              <w:rPr>
                <w:sz w:val="22"/>
              </w:rPr>
              <w:t>Percentage</w:t>
            </w:r>
            <w:r>
              <w:rPr>
                <w:spacing w:val="-7"/>
                <w:sz w:val="22"/>
              </w:rPr>
              <w:t> </w:t>
            </w:r>
            <w:r>
              <w:rPr>
                <w:sz w:val="22"/>
              </w:rPr>
              <w:t>containing</w:t>
            </w:r>
            <w:r>
              <w:rPr>
                <w:spacing w:val="-9"/>
                <w:sz w:val="22"/>
              </w:rPr>
              <w:t> </w:t>
            </w:r>
            <w:r>
              <w:rPr>
                <w:sz w:val="22"/>
              </w:rPr>
              <w:t>sensitive</w:t>
            </w:r>
            <w:r>
              <w:rPr>
                <w:spacing w:val="-6"/>
                <w:sz w:val="22"/>
              </w:rPr>
              <w:t> </w:t>
            </w:r>
            <w:r>
              <w:rPr>
                <w:spacing w:val="-4"/>
                <w:sz w:val="22"/>
              </w:rPr>
              <w:t>data</w:t>
            </w:r>
          </w:p>
        </w:tc>
        <w:tc>
          <w:tcPr>
            <w:tcW w:w="828" w:type="dxa"/>
          </w:tcPr>
          <w:p>
            <w:pPr>
              <w:pStyle w:val="TableParagraph"/>
              <w:ind w:left="12" w:right="3"/>
              <w:jc w:val="center"/>
              <w:rPr>
                <w:sz w:val="22"/>
              </w:rPr>
            </w:pPr>
            <w:r>
              <w:rPr>
                <w:spacing w:val="-5"/>
                <w:sz w:val="22"/>
              </w:rPr>
              <w:t>43%</w:t>
            </w:r>
          </w:p>
        </w:tc>
      </w:tr>
      <w:tr>
        <w:trPr>
          <w:trHeight w:val="252" w:hRule="atLeast"/>
        </w:trPr>
        <w:tc>
          <w:tcPr>
            <w:tcW w:w="6486" w:type="dxa"/>
          </w:tcPr>
          <w:p>
            <w:pPr>
              <w:pStyle w:val="TableParagraph"/>
              <w:spacing w:line="232" w:lineRule="exact"/>
              <w:ind w:left="107"/>
              <w:rPr>
                <w:sz w:val="22"/>
              </w:rPr>
            </w:pPr>
            <w:r>
              <w:rPr>
                <w:sz w:val="22"/>
              </w:rPr>
              <w:t>Average</w:t>
            </w:r>
            <w:r>
              <w:rPr>
                <w:spacing w:val="-3"/>
                <w:sz w:val="22"/>
              </w:rPr>
              <w:t> </w:t>
            </w:r>
            <w:r>
              <w:rPr>
                <w:sz w:val="22"/>
              </w:rPr>
              <w:t>data</w:t>
            </w:r>
            <w:r>
              <w:rPr>
                <w:spacing w:val="-3"/>
                <w:sz w:val="22"/>
              </w:rPr>
              <w:t> </w:t>
            </w:r>
            <w:r>
              <w:rPr>
                <w:sz w:val="22"/>
              </w:rPr>
              <w:t>breach</w:t>
            </w:r>
            <w:r>
              <w:rPr>
                <w:spacing w:val="-2"/>
                <w:sz w:val="22"/>
              </w:rPr>
              <w:t> </w:t>
            </w:r>
            <w:r>
              <w:rPr>
                <w:sz w:val="22"/>
              </w:rPr>
              <w:t>cost</w:t>
            </w:r>
            <w:r>
              <w:rPr>
                <w:spacing w:val="-4"/>
                <w:sz w:val="22"/>
              </w:rPr>
              <w:t> </w:t>
            </w:r>
            <w:r>
              <w:rPr>
                <w:sz w:val="22"/>
              </w:rPr>
              <w:t>($</w:t>
            </w:r>
            <w:r>
              <w:rPr>
                <w:spacing w:val="-5"/>
                <w:sz w:val="22"/>
              </w:rPr>
              <w:t> </w:t>
            </w:r>
            <w:r>
              <w:rPr>
                <w:spacing w:val="-2"/>
                <w:sz w:val="22"/>
              </w:rPr>
              <w:t>millions)</w:t>
            </w:r>
          </w:p>
        </w:tc>
        <w:tc>
          <w:tcPr>
            <w:tcW w:w="828" w:type="dxa"/>
          </w:tcPr>
          <w:p>
            <w:pPr>
              <w:pStyle w:val="TableParagraph"/>
              <w:spacing w:line="232" w:lineRule="exact"/>
              <w:ind w:left="12" w:right="2"/>
              <w:jc w:val="center"/>
              <w:rPr>
                <w:sz w:val="22"/>
              </w:rPr>
            </w:pPr>
            <w:r>
              <w:rPr>
                <w:spacing w:val="-4"/>
                <w:sz w:val="22"/>
              </w:rPr>
              <w:t>5.97</w:t>
            </w:r>
          </w:p>
        </w:tc>
      </w:tr>
      <w:tr>
        <w:trPr>
          <w:trHeight w:val="254" w:hRule="atLeast"/>
        </w:trPr>
        <w:tc>
          <w:tcPr>
            <w:tcW w:w="6486" w:type="dxa"/>
          </w:tcPr>
          <w:p>
            <w:pPr>
              <w:pStyle w:val="TableParagraph"/>
              <w:ind w:left="107"/>
              <w:rPr>
                <w:sz w:val="22"/>
              </w:rPr>
            </w:pPr>
            <w:r>
              <w:rPr>
                <w:sz w:val="22"/>
              </w:rPr>
              <w:t>Average</w:t>
            </w:r>
            <w:r>
              <w:rPr>
                <w:spacing w:val="-6"/>
                <w:sz w:val="22"/>
              </w:rPr>
              <w:t> </w:t>
            </w:r>
            <w:r>
              <w:rPr>
                <w:sz w:val="22"/>
              </w:rPr>
              <w:t>integration</w:t>
            </w:r>
            <w:r>
              <w:rPr>
                <w:spacing w:val="-7"/>
                <w:sz w:val="22"/>
              </w:rPr>
              <w:t> </w:t>
            </w:r>
            <w:r>
              <w:rPr>
                <w:sz w:val="22"/>
              </w:rPr>
              <w:t>touchpoints</w:t>
            </w:r>
            <w:r>
              <w:rPr>
                <w:spacing w:val="-4"/>
                <w:sz w:val="22"/>
              </w:rPr>
              <w:t> </w:t>
            </w:r>
            <w:r>
              <w:rPr>
                <w:sz w:val="22"/>
              </w:rPr>
              <w:t>per</w:t>
            </w:r>
            <w:r>
              <w:rPr>
                <w:spacing w:val="-4"/>
                <w:sz w:val="22"/>
              </w:rPr>
              <w:t> </w:t>
            </w:r>
            <w:r>
              <w:rPr>
                <w:sz w:val="22"/>
              </w:rPr>
              <w:t>embedded</w:t>
            </w:r>
            <w:r>
              <w:rPr>
                <w:spacing w:val="-7"/>
                <w:sz w:val="22"/>
              </w:rPr>
              <w:t> </w:t>
            </w:r>
            <w:r>
              <w:rPr>
                <w:sz w:val="22"/>
              </w:rPr>
              <w:t>finance</w:t>
            </w:r>
            <w:r>
              <w:rPr>
                <w:spacing w:val="-5"/>
                <w:sz w:val="22"/>
              </w:rPr>
              <w:t> </w:t>
            </w:r>
            <w:r>
              <w:rPr>
                <w:spacing w:val="-2"/>
                <w:sz w:val="22"/>
              </w:rPr>
              <w:t>implementation</w:t>
            </w:r>
          </w:p>
        </w:tc>
        <w:tc>
          <w:tcPr>
            <w:tcW w:w="828" w:type="dxa"/>
          </w:tcPr>
          <w:p>
            <w:pPr>
              <w:pStyle w:val="TableParagraph"/>
              <w:ind w:left="12"/>
              <w:jc w:val="center"/>
              <w:rPr>
                <w:sz w:val="22"/>
              </w:rPr>
            </w:pPr>
            <w:r>
              <w:rPr>
                <w:sz w:val="22"/>
              </w:rPr>
              <w:t>7 to </w:t>
            </w:r>
            <w:r>
              <w:rPr>
                <w:spacing w:val="-5"/>
                <w:sz w:val="22"/>
              </w:rPr>
              <w:t>12</w:t>
            </w:r>
          </w:p>
        </w:tc>
      </w:tr>
      <w:tr>
        <w:trPr>
          <w:trHeight w:val="253" w:hRule="atLeast"/>
        </w:trPr>
        <w:tc>
          <w:tcPr>
            <w:tcW w:w="6486" w:type="dxa"/>
          </w:tcPr>
          <w:p>
            <w:pPr>
              <w:pStyle w:val="TableParagraph"/>
              <w:ind w:left="107"/>
              <w:rPr>
                <w:sz w:val="22"/>
              </w:rPr>
            </w:pPr>
            <w:r>
              <w:rPr>
                <w:sz w:val="22"/>
              </w:rPr>
              <w:t>Annual</w:t>
            </w:r>
            <w:r>
              <w:rPr>
                <w:spacing w:val="-8"/>
                <w:sz w:val="22"/>
              </w:rPr>
              <w:t> </w:t>
            </w:r>
            <w:r>
              <w:rPr>
                <w:sz w:val="22"/>
              </w:rPr>
              <w:t>electronic</w:t>
            </w:r>
            <w:r>
              <w:rPr>
                <w:spacing w:val="-5"/>
                <w:sz w:val="22"/>
              </w:rPr>
              <w:t> </w:t>
            </w:r>
            <w:r>
              <w:rPr>
                <w:sz w:val="22"/>
              </w:rPr>
              <w:t>payment</w:t>
            </w:r>
            <w:r>
              <w:rPr>
                <w:spacing w:val="-4"/>
                <w:sz w:val="22"/>
              </w:rPr>
              <w:t> </w:t>
            </w:r>
            <w:r>
              <w:rPr>
                <w:sz w:val="22"/>
              </w:rPr>
              <w:t>transactions</w:t>
            </w:r>
            <w:r>
              <w:rPr>
                <w:spacing w:val="-7"/>
                <w:sz w:val="22"/>
              </w:rPr>
              <w:t> </w:t>
            </w:r>
            <w:r>
              <w:rPr>
                <w:spacing w:val="-2"/>
                <w:sz w:val="22"/>
              </w:rPr>
              <w:t>(trillions)</w:t>
            </w:r>
          </w:p>
        </w:tc>
        <w:tc>
          <w:tcPr>
            <w:tcW w:w="828" w:type="dxa"/>
          </w:tcPr>
          <w:p>
            <w:pPr>
              <w:pStyle w:val="TableParagraph"/>
              <w:ind w:left="12" w:right="2"/>
              <w:jc w:val="center"/>
              <w:rPr>
                <w:sz w:val="22"/>
              </w:rPr>
            </w:pPr>
            <w:r>
              <w:rPr>
                <w:spacing w:val="-5"/>
                <w:sz w:val="22"/>
              </w:rPr>
              <w:t>1.2</w:t>
            </w:r>
          </w:p>
        </w:tc>
      </w:tr>
      <w:tr>
        <w:trPr>
          <w:trHeight w:val="251" w:hRule="atLeast"/>
        </w:trPr>
        <w:tc>
          <w:tcPr>
            <w:tcW w:w="6486" w:type="dxa"/>
          </w:tcPr>
          <w:p>
            <w:pPr>
              <w:pStyle w:val="TableParagraph"/>
              <w:spacing w:line="232" w:lineRule="exact"/>
              <w:ind w:left="107"/>
              <w:rPr>
                <w:sz w:val="22"/>
              </w:rPr>
            </w:pPr>
            <w:r>
              <w:rPr>
                <w:sz w:val="22"/>
              </w:rPr>
              <w:t>Year-over-year</w:t>
            </w:r>
            <w:r>
              <w:rPr>
                <w:spacing w:val="-7"/>
                <w:sz w:val="22"/>
              </w:rPr>
              <w:t> </w:t>
            </w:r>
            <w:r>
              <w:rPr>
                <w:sz w:val="22"/>
              </w:rPr>
              <w:t>BaaS</w:t>
            </w:r>
            <w:r>
              <w:rPr>
                <w:spacing w:val="-6"/>
                <w:sz w:val="22"/>
              </w:rPr>
              <w:t> </w:t>
            </w:r>
            <w:r>
              <w:rPr>
                <w:sz w:val="22"/>
              </w:rPr>
              <w:t>implementation</w:t>
            </w:r>
            <w:r>
              <w:rPr>
                <w:spacing w:val="-6"/>
                <w:sz w:val="22"/>
              </w:rPr>
              <w:t> </w:t>
            </w:r>
            <w:r>
              <w:rPr>
                <w:spacing w:val="-2"/>
                <w:sz w:val="22"/>
              </w:rPr>
              <w:t>growth</w:t>
            </w:r>
          </w:p>
        </w:tc>
        <w:tc>
          <w:tcPr>
            <w:tcW w:w="828" w:type="dxa"/>
          </w:tcPr>
          <w:p>
            <w:pPr>
              <w:pStyle w:val="TableParagraph"/>
              <w:spacing w:line="232" w:lineRule="exact"/>
              <w:ind w:left="12" w:right="3"/>
              <w:jc w:val="center"/>
              <w:rPr>
                <w:sz w:val="22"/>
              </w:rPr>
            </w:pPr>
            <w:r>
              <w:rPr>
                <w:spacing w:val="-5"/>
                <w:sz w:val="22"/>
              </w:rPr>
              <w:t>88%</w:t>
            </w:r>
          </w:p>
        </w:tc>
      </w:tr>
      <w:tr>
        <w:trPr>
          <w:trHeight w:val="253" w:hRule="atLeast"/>
        </w:trPr>
        <w:tc>
          <w:tcPr>
            <w:tcW w:w="6486" w:type="dxa"/>
          </w:tcPr>
          <w:p>
            <w:pPr>
              <w:pStyle w:val="TableParagraph"/>
              <w:ind w:left="107"/>
              <w:rPr>
                <w:sz w:val="22"/>
              </w:rPr>
            </w:pPr>
            <w:r>
              <w:rPr>
                <w:sz w:val="22"/>
              </w:rPr>
              <w:t>Attack</w:t>
            </w:r>
            <w:r>
              <w:rPr>
                <w:spacing w:val="-7"/>
                <w:sz w:val="22"/>
              </w:rPr>
              <w:t> </w:t>
            </w:r>
            <w:r>
              <w:rPr>
                <w:sz w:val="22"/>
              </w:rPr>
              <w:t>surface</w:t>
            </w:r>
            <w:r>
              <w:rPr>
                <w:spacing w:val="-5"/>
                <w:sz w:val="22"/>
              </w:rPr>
              <w:t> </w:t>
            </w:r>
            <w:r>
              <w:rPr>
                <w:sz w:val="22"/>
              </w:rPr>
              <w:t>increases</w:t>
            </w:r>
            <w:r>
              <w:rPr>
                <w:spacing w:val="-6"/>
                <w:sz w:val="22"/>
              </w:rPr>
              <w:t> </w:t>
            </w:r>
            <w:r>
              <w:rPr>
                <w:sz w:val="22"/>
              </w:rPr>
              <w:t>from</w:t>
            </w:r>
            <w:r>
              <w:rPr>
                <w:spacing w:val="-7"/>
                <w:sz w:val="22"/>
              </w:rPr>
              <w:t> </w:t>
            </w:r>
            <w:r>
              <w:rPr>
                <w:sz w:val="22"/>
              </w:rPr>
              <w:t>the</w:t>
            </w:r>
            <w:r>
              <w:rPr>
                <w:spacing w:val="-4"/>
                <w:sz w:val="22"/>
              </w:rPr>
              <w:t> </w:t>
            </w:r>
            <w:r>
              <w:rPr>
                <w:sz w:val="22"/>
              </w:rPr>
              <w:t>microservices</w:t>
            </w:r>
            <w:r>
              <w:rPr>
                <w:spacing w:val="-3"/>
                <w:sz w:val="22"/>
              </w:rPr>
              <w:t> </w:t>
            </w:r>
            <w:r>
              <w:rPr>
                <w:spacing w:val="-2"/>
                <w:sz w:val="22"/>
              </w:rPr>
              <w:t>transition</w:t>
            </w:r>
          </w:p>
        </w:tc>
        <w:tc>
          <w:tcPr>
            <w:tcW w:w="828" w:type="dxa"/>
          </w:tcPr>
          <w:p>
            <w:pPr>
              <w:pStyle w:val="TableParagraph"/>
              <w:ind w:left="12" w:right="3"/>
              <w:jc w:val="center"/>
              <w:rPr>
                <w:sz w:val="22"/>
              </w:rPr>
            </w:pPr>
            <w:r>
              <w:rPr>
                <w:spacing w:val="-5"/>
                <w:sz w:val="22"/>
              </w:rPr>
              <w:t>41%</w:t>
            </w:r>
          </w:p>
        </w:tc>
      </w:tr>
      <w:tr>
        <w:trPr>
          <w:trHeight w:val="254" w:hRule="atLeast"/>
        </w:trPr>
        <w:tc>
          <w:tcPr>
            <w:tcW w:w="6486" w:type="dxa"/>
          </w:tcPr>
          <w:p>
            <w:pPr>
              <w:pStyle w:val="TableParagraph"/>
              <w:ind w:left="107"/>
              <w:rPr>
                <w:sz w:val="22"/>
              </w:rPr>
            </w:pPr>
            <w:r>
              <w:rPr>
                <w:sz w:val="22"/>
              </w:rPr>
              <w:t>Development</w:t>
            </w:r>
            <w:r>
              <w:rPr>
                <w:spacing w:val="-4"/>
                <w:sz w:val="22"/>
              </w:rPr>
              <w:t> </w:t>
            </w:r>
            <w:r>
              <w:rPr>
                <w:sz w:val="22"/>
              </w:rPr>
              <w:t>cycle</w:t>
            </w:r>
            <w:r>
              <w:rPr>
                <w:spacing w:val="-3"/>
                <w:sz w:val="22"/>
              </w:rPr>
              <w:t> </w:t>
            </w:r>
            <w:r>
              <w:rPr>
                <w:sz w:val="22"/>
              </w:rPr>
              <w:t>reduction</w:t>
            </w:r>
            <w:r>
              <w:rPr>
                <w:spacing w:val="-4"/>
                <w:sz w:val="22"/>
              </w:rPr>
              <w:t> </w:t>
            </w:r>
            <w:r>
              <w:rPr>
                <w:sz w:val="22"/>
              </w:rPr>
              <w:t>from</w:t>
            </w:r>
            <w:r>
              <w:rPr>
                <w:spacing w:val="-3"/>
                <w:sz w:val="22"/>
              </w:rPr>
              <w:t> </w:t>
            </w:r>
            <w:r>
              <w:rPr>
                <w:spacing w:val="-2"/>
                <w:sz w:val="22"/>
              </w:rPr>
              <w:t>microservices</w:t>
            </w:r>
          </w:p>
        </w:tc>
        <w:tc>
          <w:tcPr>
            <w:tcW w:w="828" w:type="dxa"/>
          </w:tcPr>
          <w:p>
            <w:pPr>
              <w:pStyle w:val="TableParagraph"/>
              <w:ind w:left="12" w:right="3"/>
              <w:jc w:val="center"/>
              <w:rPr>
                <w:sz w:val="22"/>
              </w:rPr>
            </w:pPr>
            <w:r>
              <w:rPr>
                <w:spacing w:val="-5"/>
                <w:sz w:val="22"/>
              </w:rPr>
              <w:t>68%</w:t>
            </w:r>
          </w:p>
        </w:tc>
      </w:tr>
    </w:tbl>
    <w:p>
      <w:pPr>
        <w:pStyle w:val="BodyText"/>
        <w:spacing w:before="1"/>
        <w:ind w:left="0"/>
        <w:jc w:val="left"/>
        <w:rPr>
          <w:sz w:val="6"/>
        </w:rPr>
      </w:pPr>
    </w:p>
    <w:p>
      <w:pPr>
        <w:pStyle w:val="BodyText"/>
        <w:spacing w:after="0"/>
        <w:jc w:val="left"/>
        <w:rPr>
          <w:sz w:val="6"/>
        </w:rPr>
        <w:sectPr>
          <w:type w:val="continuous"/>
          <w:pgSz w:w="11910" w:h="16840"/>
          <w:pgMar w:header="1025" w:footer="1033" w:top="440" w:bottom="1220" w:left="850" w:right="850"/>
        </w:sectPr>
      </w:pPr>
    </w:p>
    <w:p>
      <w:pPr>
        <w:pStyle w:val="Heading2"/>
        <w:tabs>
          <w:tab w:pos="3335" w:val="left" w:leader="none"/>
        </w:tabs>
        <w:spacing w:line="216" w:lineRule="auto" w:before="69"/>
        <w:ind w:right="43"/>
      </w:pPr>
      <w:r>
        <w:rPr>
          <w:color w:val="4F81BC"/>
          <w:spacing w:val="-2"/>
        </w:rPr>
        <w:t>ENTERPRISE</w:t>
      </w:r>
      <w:r>
        <w:rPr>
          <w:color w:val="4F81BC"/>
        </w:rPr>
        <w:tab/>
      </w:r>
      <w:r>
        <w:rPr>
          <w:color w:val="4F81BC"/>
          <w:spacing w:val="-2"/>
        </w:rPr>
        <w:t>FINANCIAL </w:t>
      </w:r>
      <w:r>
        <w:rPr>
          <w:color w:val="4F81BC"/>
        </w:rPr>
        <w:t>INTEGRATION ARCHITECTURES</w:t>
      </w:r>
    </w:p>
    <w:p>
      <w:pPr>
        <w:pStyle w:val="BodyText"/>
        <w:ind w:right="40"/>
      </w:pPr>
      <w:r>
        <w:rPr/>
        <w:t>The selection of an appropriate integration architecture fundamentally shapes financial data security</w:t>
      </w:r>
      <w:r>
        <w:rPr>
          <w:spacing w:val="52"/>
        </w:rPr>
        <w:t> </w:t>
      </w:r>
      <w:r>
        <w:rPr/>
        <w:t>outcomes,</w:t>
      </w:r>
      <w:r>
        <w:rPr>
          <w:spacing w:val="56"/>
        </w:rPr>
        <w:t> </w:t>
      </w:r>
      <w:r>
        <w:rPr/>
        <w:t>with</w:t>
      </w:r>
      <w:r>
        <w:rPr>
          <w:spacing w:val="53"/>
        </w:rPr>
        <w:t> </w:t>
      </w:r>
      <w:r>
        <w:rPr/>
        <w:t>longitudinal</w:t>
      </w:r>
      <w:r>
        <w:rPr>
          <w:spacing w:val="54"/>
        </w:rPr>
        <w:t> </w:t>
      </w:r>
      <w:r>
        <w:rPr/>
        <w:t>analysis</w:t>
      </w:r>
      <w:r>
        <w:rPr>
          <w:spacing w:val="56"/>
        </w:rPr>
        <w:t> </w:t>
      </w:r>
      <w:r>
        <w:rPr>
          <w:spacing w:val="-5"/>
        </w:rPr>
        <w:t>of</w:t>
      </w:r>
    </w:p>
    <w:p>
      <w:pPr>
        <w:pStyle w:val="BodyText"/>
        <w:ind w:right="38"/>
      </w:pPr>
      <w:r>
        <w:rPr/>
        <w:t>342 financial institutions revealing critical differences across architectural patterns. Point-to- point integration architectures, initially adopted by 78% of institutions for their implementation simplicity, create exponential complexity as integration needs expand, with organizations managing an average of 317 distinct connections when integrating just 26 core systems—a 47% increase from connection counts observed in 2022 (Vuković, D. B. </w:t>
      </w:r>
      <w:r>
        <w:rPr>
          <w:i/>
        </w:rPr>
        <w:t>et al., </w:t>
      </w:r>
      <w:r>
        <w:rPr/>
        <w:t>2025). This complexity directly correlates with security vulnerabilities, as each additional integration point increases breach probability by approximately 0.7% and expands</w:t>
      </w:r>
      <w:r>
        <w:rPr>
          <w:spacing w:val="40"/>
        </w:rPr>
        <w:t> </w:t>
      </w:r>
      <w:r>
        <w:rPr/>
        <w:t>the attack surface by 1.3% on average, with the most complex environments experiencing 212% more security incidents than those with</w:t>
      </w:r>
      <w:r>
        <w:rPr>
          <w:spacing w:val="40"/>
        </w:rPr>
        <w:t> </w:t>
      </w:r>
      <w:r>
        <w:rPr/>
        <w:t>streamlined integration approaches (Alhozaimy,</w:t>
      </w:r>
      <w:r>
        <w:rPr>
          <w:spacing w:val="80"/>
        </w:rPr>
        <w:t> </w:t>
      </w:r>
      <w:r>
        <w:rPr/>
        <w:t>S., &amp; Menascé, D. A. 2022).</w:t>
      </w:r>
    </w:p>
    <w:p>
      <w:pPr>
        <w:pStyle w:val="BodyText"/>
        <w:spacing w:before="130"/>
        <w:ind w:right="40"/>
      </w:pPr>
      <w:r>
        <w:rPr/>
        <w:t>Financial enterprises implementing point-to-point architectures allocate 43.2% more budget to security monitoring and incident response compared to hub-and-spoke designs, with mean time to detect (MTTD) integration-related</w:t>
      </w:r>
      <w:r>
        <w:rPr>
          <w:spacing w:val="40"/>
        </w:rPr>
        <w:t> </w:t>
      </w:r>
      <w:r>
        <w:rPr/>
        <w:t>breaches averaging 97 hours versus 41 hours in centralized architectures—a differential that translates to approximately $218,000 in additional mitigation</w:t>
      </w:r>
      <w:r>
        <w:rPr>
          <w:spacing w:val="-5"/>
        </w:rPr>
        <w:t> </w:t>
      </w:r>
      <w:r>
        <w:rPr/>
        <w:t>costs</w:t>
      </w:r>
      <w:r>
        <w:rPr>
          <w:spacing w:val="-5"/>
        </w:rPr>
        <w:t> </w:t>
      </w:r>
      <w:r>
        <w:rPr/>
        <w:t>per</w:t>
      </w:r>
      <w:r>
        <w:rPr>
          <w:spacing w:val="-5"/>
        </w:rPr>
        <w:t> </w:t>
      </w:r>
      <w:r>
        <w:rPr/>
        <w:t>incident</w:t>
      </w:r>
      <w:r>
        <w:rPr>
          <w:spacing w:val="-2"/>
        </w:rPr>
        <w:t> </w:t>
      </w:r>
      <w:r>
        <w:rPr/>
        <w:t>(Vuković,</w:t>
      </w:r>
      <w:r>
        <w:rPr>
          <w:spacing w:val="-5"/>
        </w:rPr>
        <w:t> </w:t>
      </w:r>
      <w:r>
        <w:rPr/>
        <w:t>D.</w:t>
      </w:r>
      <w:r>
        <w:rPr>
          <w:spacing w:val="-5"/>
        </w:rPr>
        <w:t> </w:t>
      </w:r>
      <w:r>
        <w:rPr/>
        <w:t>B.</w:t>
      </w:r>
      <w:r>
        <w:rPr>
          <w:spacing w:val="-5"/>
        </w:rPr>
        <w:t> </w:t>
      </w:r>
      <w:r>
        <w:rPr>
          <w:i/>
        </w:rPr>
        <w:t>et</w:t>
      </w:r>
      <w:r>
        <w:rPr>
          <w:i/>
          <w:spacing w:val="-4"/>
        </w:rPr>
        <w:t> </w:t>
      </w:r>
      <w:r>
        <w:rPr>
          <w:i/>
        </w:rPr>
        <w:t>al., </w:t>
      </w:r>
      <w:r>
        <w:rPr/>
        <w:t>2025). The security advantages of centralized integration</w:t>
      </w:r>
      <w:r>
        <w:rPr>
          <w:spacing w:val="27"/>
        </w:rPr>
        <w:t> </w:t>
      </w:r>
      <w:r>
        <w:rPr/>
        <w:t>models</w:t>
      </w:r>
      <w:r>
        <w:rPr>
          <w:spacing w:val="28"/>
        </w:rPr>
        <w:t> </w:t>
      </w:r>
      <w:r>
        <w:rPr/>
        <w:t>come</w:t>
      </w:r>
      <w:r>
        <w:rPr>
          <w:spacing w:val="25"/>
        </w:rPr>
        <w:t> </w:t>
      </w:r>
      <w:r>
        <w:rPr/>
        <w:t>with</w:t>
      </w:r>
      <w:r>
        <w:rPr>
          <w:spacing w:val="26"/>
        </w:rPr>
        <w:t> </w:t>
      </w:r>
      <w:r>
        <w:rPr/>
        <w:t>performance</w:t>
      </w:r>
      <w:r>
        <w:rPr>
          <w:spacing w:val="28"/>
        </w:rPr>
        <w:t> </w:t>
      </w:r>
      <w:r>
        <w:rPr>
          <w:spacing w:val="-2"/>
        </w:rPr>
        <w:t>trade-</w:t>
      </w:r>
    </w:p>
    <w:p>
      <w:pPr>
        <w:pStyle w:val="BodyText"/>
        <w:spacing w:before="64"/>
        <w:ind w:right="225"/>
      </w:pPr>
      <w:r>
        <w:rPr/>
        <w:br w:type="column"/>
      </w:r>
      <w:r>
        <w:rPr/>
        <w:t>offs, as 63.7% of surveyed organizations report significant bottlenecks when transaction volumes exceed 1,250 transactions per second, with 71.2% identifying the integration hub as a single point of failure resulting in an average availability impact</w:t>
      </w:r>
      <w:r>
        <w:rPr>
          <w:spacing w:val="40"/>
        </w:rPr>
        <w:t> </w:t>
      </w:r>
      <w:r>
        <w:rPr/>
        <w:t>of 4.3 hours per incident and customer satisfaction declines averaging 37 Net Promoter Score points during outages (Alhozaimy, S., &amp; Menascé, D. A. </w:t>
      </w:r>
      <w:r>
        <w:rPr>
          <w:spacing w:val="-2"/>
        </w:rPr>
        <w:t>2022).</w:t>
      </w:r>
    </w:p>
    <w:p>
      <w:pPr>
        <w:pStyle w:val="BodyText"/>
        <w:spacing w:before="138"/>
        <w:ind w:right="224"/>
      </w:pPr>
      <w:r>
        <w:rPr/>
        <w:t>These competing considerations have driven</w:t>
      </w:r>
      <w:r>
        <w:rPr>
          <w:spacing w:val="40"/>
        </w:rPr>
        <w:t> </w:t>
      </w:r>
      <w:r>
        <w:rPr/>
        <w:t>78.3% of financial institutions to adopt hybrid architectures that balance security and</w:t>
      </w:r>
      <w:r>
        <w:rPr>
          <w:spacing w:val="80"/>
        </w:rPr>
        <w:t> </w:t>
      </w:r>
      <w:r>
        <w:rPr/>
        <w:t>performance objectives, with transaction-specific routing determined by volume, security requirements, and performance thresholds calibrated through machine learning algorithms</w:t>
      </w:r>
      <w:r>
        <w:rPr>
          <w:spacing w:val="40"/>
        </w:rPr>
        <w:t> </w:t>
      </w:r>
      <w:r>
        <w:rPr/>
        <w:t>that have improved routing accuracy by 42% since 2022 (Vuković, D. B. </w:t>
      </w:r>
      <w:r>
        <w:rPr>
          <w:i/>
        </w:rPr>
        <w:t>et al., </w:t>
      </w:r>
      <w:r>
        <w:rPr/>
        <w:t>2025). High-volume payment processing integrations, averaging 3,870 transactions per second during peak periods (a</w:t>
      </w:r>
      <w:r>
        <w:rPr>
          <w:spacing w:val="40"/>
        </w:rPr>
        <w:t> </w:t>
      </w:r>
      <w:r>
        <w:rPr/>
        <w:t>23% year-over-year increase), typically employ direct integrations with dedicated security controls showing 99.99% availability, while customer information synchronization leverages centralized platforms with standardized security implementations reducing configuration errors by 74.8% and compliance violations by 67.3% compared to decentralized approaches</w:t>
      </w:r>
      <w:r>
        <w:rPr>
          <w:spacing w:val="80"/>
        </w:rPr>
        <w:t> </w:t>
      </w:r>
      <w:r>
        <w:rPr/>
        <w:t>(Alhozaimy, S., &amp; Menascé, D. A. 2022).</w:t>
      </w:r>
    </w:p>
    <w:p>
      <w:pPr>
        <w:pStyle w:val="BodyText"/>
        <w:spacing w:before="140"/>
        <w:ind w:right="224"/>
      </w:pPr>
      <w:r>
        <w:rPr/>
        <w:t>Domain-driven design principles have</w:t>
      </w:r>
      <w:r>
        <w:rPr>
          <w:spacing w:val="40"/>
        </w:rPr>
        <w:t> </w:t>
      </w:r>
      <w:r>
        <w:rPr/>
        <w:t>substantially refined these hybrid models, with 67.1% of institutions implementing domain- specific integration architectures that enable specialized</w:t>
      </w:r>
      <w:r>
        <w:rPr>
          <w:spacing w:val="17"/>
        </w:rPr>
        <w:t> </w:t>
      </w:r>
      <w:r>
        <w:rPr/>
        <w:t>security</w:t>
      </w:r>
      <w:r>
        <w:rPr>
          <w:spacing w:val="16"/>
        </w:rPr>
        <w:t> </w:t>
      </w:r>
      <w:r>
        <w:rPr/>
        <w:t>controls</w:t>
      </w:r>
      <w:r>
        <w:rPr>
          <w:spacing w:val="19"/>
        </w:rPr>
        <w:t> </w:t>
      </w:r>
      <w:r>
        <w:rPr/>
        <w:t>by</w:t>
      </w:r>
      <w:r>
        <w:rPr>
          <w:spacing w:val="16"/>
        </w:rPr>
        <w:t> </w:t>
      </w:r>
      <w:r>
        <w:rPr/>
        <w:t>business</w:t>
      </w:r>
      <w:r>
        <w:rPr>
          <w:spacing w:val="17"/>
        </w:rPr>
        <w:t> </w:t>
      </w:r>
      <w:r>
        <w:rPr>
          <w:spacing w:val="-2"/>
        </w:rPr>
        <w:t>function,</w:t>
      </w:r>
    </w:p>
    <w:p>
      <w:pPr>
        <w:pStyle w:val="BodyText"/>
        <w:spacing w:after="0"/>
        <w:sectPr>
          <w:type w:val="continuous"/>
          <w:pgSz w:w="11910" w:h="16840"/>
          <w:pgMar w:header="1025" w:footer="1033" w:top="440" w:bottom="1220" w:left="850" w:right="850"/>
          <w:cols w:num="2" w:equalWidth="0">
            <w:col w:w="4795" w:space="434"/>
            <w:col w:w="4981"/>
          </w:cols>
        </w:sectPr>
      </w:pPr>
    </w:p>
    <w:p>
      <w:pPr>
        <w:pStyle w:val="BodyText"/>
        <w:spacing w:before="165"/>
        <w:ind w:right="39"/>
      </w:pPr>
      <w:r>
        <w:rPr/>
        <mc:AlternateContent>
          <mc:Choice Requires="wps">
            <w:drawing>
              <wp:anchor distT="0" distB="0" distL="0" distR="0" allowOverlap="1" layoutInCell="1" locked="0" behindDoc="0" simplePos="0" relativeHeight="15732736">
                <wp:simplePos x="0" y="0"/>
                <wp:positionH relativeFrom="page">
                  <wp:posOffset>667512</wp:posOffset>
                </wp:positionH>
                <wp:positionV relativeFrom="paragraph">
                  <wp:posOffset>76351</wp:posOffset>
                </wp:positionV>
                <wp:extent cx="6227445"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2736" id="docshape14" filled="true" fillcolor="#17365d" stroked="false">
                <v:fill type="solid"/>
                <w10:wrap type="none"/>
              </v:rect>
            </w:pict>
          </mc:Fallback>
        </mc:AlternateContent>
      </w:r>
      <w:r>
        <w:rPr/>
        <w:t>resulting in 37% fewer security incidents</w:t>
      </w:r>
      <w:r>
        <w:rPr>
          <w:spacing w:val="40"/>
        </w:rPr>
        <w:t> </w:t>
      </w:r>
      <w:r>
        <w:rPr/>
        <w:t>compared to monolithic integration approaches (Vuković, D. B. </w:t>
      </w:r>
      <w:r>
        <w:rPr>
          <w:i/>
        </w:rPr>
        <w:t>et al., </w:t>
      </w:r>
      <w:r>
        <w:rPr/>
        <w:t>2025). Each specialized domain reduces the mean time to remediate (MTTR)</w:t>
      </w:r>
      <w:r>
        <w:rPr>
          <w:spacing w:val="18"/>
        </w:rPr>
        <w:t> </w:t>
      </w:r>
      <w:r>
        <w:rPr/>
        <w:t>security</w:t>
      </w:r>
      <w:r>
        <w:rPr>
          <w:spacing w:val="17"/>
        </w:rPr>
        <w:t> </w:t>
      </w:r>
      <w:r>
        <w:rPr/>
        <w:t>vulnerabilities</w:t>
      </w:r>
      <w:r>
        <w:rPr>
          <w:spacing w:val="19"/>
        </w:rPr>
        <w:t> </w:t>
      </w:r>
      <w:r>
        <w:rPr/>
        <w:t>by</w:t>
      </w:r>
      <w:r>
        <w:rPr>
          <w:spacing w:val="18"/>
        </w:rPr>
        <w:t> </w:t>
      </w:r>
      <w:r>
        <w:rPr>
          <w:spacing w:val="-2"/>
        </w:rPr>
        <w:t>approximately</w:t>
      </w:r>
    </w:p>
    <w:p>
      <w:pPr>
        <w:pStyle w:val="BodyText"/>
        <w:ind w:right="38"/>
      </w:pPr>
      <w:r>
        <w:rPr/>
        <w:t>18.3 hours, with lending domains showing the greatest improvement (27.2 hours) due to their complex regulatory requirements across an</w:t>
      </w:r>
      <w:r>
        <w:rPr>
          <w:spacing w:val="40"/>
        </w:rPr>
        <w:t> </w:t>
      </w:r>
      <w:r>
        <w:rPr/>
        <w:t>average of 17 jurisdictions per global institution (Alhozaimy, S., &amp; Menascé, D. A. 2022).</w:t>
      </w:r>
    </w:p>
    <w:p>
      <w:pPr>
        <w:pStyle w:val="BodyText"/>
        <w:spacing w:before="139"/>
        <w:ind w:right="43"/>
      </w:pPr>
      <w:r>
        <w:rPr/>
        <w:t>API</w:t>
      </w:r>
      <w:r>
        <w:rPr>
          <w:spacing w:val="-9"/>
        </w:rPr>
        <w:t> </w:t>
      </w:r>
      <w:r>
        <w:rPr/>
        <w:t>gateway-centric</w:t>
      </w:r>
      <w:r>
        <w:rPr>
          <w:spacing w:val="-7"/>
        </w:rPr>
        <w:t> </w:t>
      </w:r>
      <w:r>
        <w:rPr/>
        <w:t>architectures</w:t>
      </w:r>
      <w:r>
        <w:rPr>
          <w:spacing w:val="-7"/>
        </w:rPr>
        <w:t> </w:t>
      </w:r>
      <w:r>
        <w:rPr/>
        <w:t>have</w:t>
      </w:r>
      <w:r>
        <w:rPr>
          <w:spacing w:val="-7"/>
        </w:rPr>
        <w:t> </w:t>
      </w:r>
      <w:r>
        <w:rPr/>
        <w:t>emerged</w:t>
      </w:r>
      <w:r>
        <w:rPr>
          <w:spacing w:val="-7"/>
        </w:rPr>
        <w:t> </w:t>
      </w:r>
      <w:r>
        <w:rPr/>
        <w:t>as the dominant paradigm, with 91.2% of financial organizations implementing API management platforms</w:t>
      </w:r>
      <w:r>
        <w:rPr>
          <w:spacing w:val="73"/>
        </w:rPr>
        <w:t> </w:t>
      </w:r>
      <w:r>
        <w:rPr/>
        <w:t>that</w:t>
      </w:r>
      <w:r>
        <w:rPr>
          <w:spacing w:val="72"/>
        </w:rPr>
        <w:t> </w:t>
      </w:r>
      <w:r>
        <w:rPr/>
        <w:t>standardize</w:t>
      </w:r>
      <w:r>
        <w:rPr>
          <w:spacing w:val="72"/>
        </w:rPr>
        <w:t> </w:t>
      </w:r>
      <w:r>
        <w:rPr/>
        <w:t>integration</w:t>
      </w:r>
      <w:r>
        <w:rPr>
          <w:spacing w:val="72"/>
        </w:rPr>
        <w:t> </w:t>
      </w:r>
      <w:r>
        <w:rPr>
          <w:spacing w:val="-2"/>
        </w:rPr>
        <w:t>interfaces</w:t>
      </w:r>
    </w:p>
    <w:p>
      <w:pPr>
        <w:pStyle w:val="BodyText"/>
        <w:tabs>
          <w:tab w:pos="1803" w:val="left" w:leader="none"/>
          <w:tab w:pos="2878" w:val="left" w:leader="none"/>
          <w:tab w:pos="4100" w:val="left" w:leader="none"/>
        </w:tabs>
        <w:spacing w:before="165"/>
        <w:ind w:right="224"/>
      </w:pPr>
      <w:r>
        <w:rPr/>
        <w:br w:type="column"/>
      </w:r>
      <w:r>
        <w:rPr/>
        <w:t>while providing consistent authentication, authorization, and audit capabilities across an </w:t>
      </w:r>
      <w:r>
        <w:rPr>
          <w:spacing w:val="-2"/>
        </w:rPr>
        <w:t>average</w:t>
      </w:r>
      <w:r>
        <w:rPr/>
        <w:tab/>
      </w:r>
      <w:r>
        <w:rPr>
          <w:spacing w:val="-6"/>
        </w:rPr>
        <w:t>of</w:t>
      </w:r>
      <w:r>
        <w:rPr/>
        <w:tab/>
      </w:r>
      <w:r>
        <w:rPr>
          <w:spacing w:val="-4"/>
        </w:rPr>
        <w:t>247</w:t>
      </w:r>
      <w:r>
        <w:rPr/>
        <w:tab/>
      </w:r>
      <w:r>
        <w:rPr>
          <w:spacing w:val="-2"/>
        </w:rPr>
        <w:t>distinct </w:t>
      </w:r>
      <w:r>
        <w:rPr/>
        <w:t>API endpoints per institution (Vuković, D. B. </w:t>
      </w:r>
      <w:r>
        <w:rPr>
          <w:i/>
        </w:rPr>
        <w:t>et</w:t>
      </w:r>
      <w:r>
        <w:rPr>
          <w:i/>
          <w:spacing w:val="40"/>
        </w:rPr>
        <w:t> </w:t>
      </w:r>
      <w:r>
        <w:rPr>
          <w:i/>
        </w:rPr>
        <w:t>al., </w:t>
      </w:r>
      <w:r>
        <w:rPr/>
        <w:t>2025). These gateways serve as security</w:t>
      </w:r>
      <w:r>
        <w:rPr>
          <w:spacing w:val="40"/>
        </w:rPr>
        <w:t> </w:t>
      </w:r>
      <w:r>
        <w:rPr/>
        <w:t>control points, implementing OAuth 2.0 (deployed in 87.3% of institutions) and OpenID Connect (76.4%), which have reduced unauthorized access attempts by 93.7% for integrations crossing organizational boundaries while simultaneously decreasing integration development time by 47% and security review cycles by 68% through standardized security patterns (Alhozaimy, S., &amp; Menascé, D. A. 2022).</w:t>
      </w:r>
    </w:p>
    <w:p>
      <w:pPr>
        <w:pStyle w:val="BodyText"/>
        <w:spacing w:after="0"/>
        <w:sectPr>
          <w:pgSz w:w="11910" w:h="16840"/>
          <w:pgMar w:header="1025" w:footer="1033" w:top="1260" w:bottom="1220" w:left="850" w:right="850"/>
          <w:cols w:num="2" w:equalWidth="0">
            <w:col w:w="4793" w:space="435"/>
            <w:col w:w="4982"/>
          </w:cols>
        </w:sectPr>
      </w:pPr>
    </w:p>
    <w:p>
      <w:pPr>
        <w:pStyle w:val="BodyText"/>
        <w:spacing w:before="138" w:after="7"/>
        <w:ind w:left="3331" w:hanging="2643"/>
        <w:jc w:val="left"/>
      </w:pPr>
      <w:r>
        <w:rPr>
          <w:b/>
        </w:rPr>
        <w:t>Table</w:t>
      </w:r>
      <w:r>
        <w:rPr>
          <w:b/>
          <w:spacing w:val="-2"/>
        </w:rPr>
        <w:t> </w:t>
      </w:r>
      <w:r>
        <w:rPr>
          <w:b/>
        </w:rPr>
        <w:t>2</w:t>
      </w:r>
      <w:r>
        <w:rPr/>
        <w:t>:</w:t>
      </w:r>
      <w:r>
        <w:rPr>
          <w:spacing w:val="-2"/>
        </w:rPr>
        <w:t> </w:t>
      </w:r>
      <w:r>
        <w:rPr/>
        <w:t>Financial</w:t>
      </w:r>
      <w:r>
        <w:rPr>
          <w:spacing w:val="-2"/>
        </w:rPr>
        <w:t> </w:t>
      </w:r>
      <w:r>
        <w:rPr/>
        <w:t>Integration</w:t>
      </w:r>
      <w:r>
        <w:rPr>
          <w:spacing w:val="-3"/>
        </w:rPr>
        <w:t> </w:t>
      </w:r>
      <w:r>
        <w:rPr/>
        <w:t>Architecture</w:t>
      </w:r>
      <w:r>
        <w:rPr>
          <w:spacing w:val="-3"/>
        </w:rPr>
        <w:t> </w:t>
      </w:r>
      <w:r>
        <w:rPr/>
        <w:t>Adoption</w:t>
      </w:r>
      <w:r>
        <w:rPr>
          <w:spacing w:val="-3"/>
        </w:rPr>
        <w:t> </w:t>
      </w:r>
      <w:r>
        <w:rPr/>
        <w:t>and</w:t>
      </w:r>
      <w:r>
        <w:rPr>
          <w:spacing w:val="-3"/>
        </w:rPr>
        <w:t> </w:t>
      </w:r>
      <w:r>
        <w:rPr/>
        <w:t>Performance</w:t>
      </w:r>
      <w:r>
        <w:rPr>
          <w:spacing w:val="-1"/>
        </w:rPr>
        <w:t> </w:t>
      </w:r>
      <w:r>
        <w:rPr/>
        <w:t>(</w:t>
      </w:r>
      <w:r>
        <w:rPr>
          <w:color w:val="212121"/>
        </w:rPr>
        <w:t>Vuković,</w:t>
      </w:r>
      <w:r>
        <w:rPr>
          <w:color w:val="212121"/>
          <w:spacing w:val="-3"/>
        </w:rPr>
        <w:t> </w:t>
      </w:r>
      <w:r>
        <w:rPr>
          <w:color w:val="212121"/>
        </w:rPr>
        <w:t>D.</w:t>
      </w:r>
      <w:r>
        <w:rPr>
          <w:color w:val="212121"/>
          <w:spacing w:val="-3"/>
        </w:rPr>
        <w:t> </w:t>
      </w:r>
      <w:r>
        <w:rPr>
          <w:color w:val="212121"/>
        </w:rPr>
        <w:t>B.</w:t>
      </w:r>
      <w:r>
        <w:rPr>
          <w:color w:val="212121"/>
          <w:spacing w:val="-3"/>
        </w:rPr>
        <w:t> </w:t>
      </w:r>
      <w:r>
        <w:rPr>
          <w:i/>
          <w:color w:val="212121"/>
        </w:rPr>
        <w:t>et</w:t>
      </w:r>
      <w:r>
        <w:rPr>
          <w:i/>
          <w:color w:val="212121"/>
          <w:spacing w:val="-2"/>
        </w:rPr>
        <w:t> </w:t>
      </w:r>
      <w:r>
        <w:rPr>
          <w:i/>
          <w:color w:val="212121"/>
        </w:rPr>
        <w:t>al.,</w:t>
      </w:r>
      <w:r>
        <w:rPr>
          <w:i/>
          <w:color w:val="212121"/>
          <w:spacing w:val="-3"/>
        </w:rPr>
        <w:t> </w:t>
      </w:r>
      <w:r>
        <w:rPr>
          <w:color w:val="212121"/>
        </w:rPr>
        <w:t>2025; Alhozaimy, S., &amp; Menascé, D. A. 2022</w:t>
      </w:r>
      <w:r>
        <w:rPr/>
        <w:t>)</w:t>
      </w:r>
    </w:p>
    <w:tbl>
      <w:tblPr>
        <w:tblW w:w="0" w:type="auto"/>
        <w:jc w:val="left"/>
        <w:tblInd w:w="1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28"/>
        <w:gridCol w:w="4816"/>
        <w:gridCol w:w="879"/>
      </w:tblGrid>
      <w:tr>
        <w:trPr>
          <w:trHeight w:val="251" w:hRule="atLeast"/>
        </w:trPr>
        <w:tc>
          <w:tcPr>
            <w:tcW w:w="1928" w:type="dxa"/>
          </w:tcPr>
          <w:p>
            <w:pPr>
              <w:pStyle w:val="TableParagraph"/>
              <w:spacing w:line="231" w:lineRule="exact"/>
              <w:ind w:left="98"/>
              <w:rPr>
                <w:b/>
                <w:sz w:val="22"/>
              </w:rPr>
            </w:pPr>
            <w:r>
              <w:rPr>
                <w:b/>
                <w:sz w:val="22"/>
              </w:rPr>
              <w:t>Architecture</w:t>
            </w:r>
            <w:r>
              <w:rPr>
                <w:b/>
                <w:spacing w:val="-7"/>
                <w:sz w:val="22"/>
              </w:rPr>
              <w:t> </w:t>
            </w:r>
            <w:r>
              <w:rPr>
                <w:b/>
                <w:spacing w:val="-4"/>
                <w:sz w:val="22"/>
              </w:rPr>
              <w:t>Type</w:t>
            </w:r>
          </w:p>
        </w:tc>
        <w:tc>
          <w:tcPr>
            <w:tcW w:w="4816" w:type="dxa"/>
          </w:tcPr>
          <w:p>
            <w:pPr>
              <w:pStyle w:val="TableParagraph"/>
              <w:spacing w:line="231" w:lineRule="exact"/>
              <w:ind w:left="12"/>
              <w:jc w:val="center"/>
              <w:rPr>
                <w:b/>
                <w:sz w:val="22"/>
              </w:rPr>
            </w:pPr>
            <w:r>
              <w:rPr>
                <w:b/>
                <w:spacing w:val="-2"/>
                <w:sz w:val="22"/>
              </w:rPr>
              <w:t>Metric</w:t>
            </w:r>
          </w:p>
        </w:tc>
        <w:tc>
          <w:tcPr>
            <w:tcW w:w="879" w:type="dxa"/>
          </w:tcPr>
          <w:p>
            <w:pPr>
              <w:pStyle w:val="TableParagraph"/>
              <w:spacing w:line="231" w:lineRule="exact"/>
              <w:jc w:val="center"/>
              <w:rPr>
                <w:b/>
                <w:sz w:val="22"/>
              </w:rPr>
            </w:pPr>
            <w:r>
              <w:rPr>
                <w:b/>
                <w:spacing w:val="-2"/>
                <w:sz w:val="22"/>
              </w:rPr>
              <w:t>Value</w:t>
            </w:r>
          </w:p>
        </w:tc>
      </w:tr>
      <w:tr>
        <w:trPr>
          <w:trHeight w:val="253" w:hRule="atLeast"/>
        </w:trPr>
        <w:tc>
          <w:tcPr>
            <w:tcW w:w="1928" w:type="dxa"/>
            <w:vMerge w:val="restart"/>
          </w:tcPr>
          <w:p>
            <w:pPr>
              <w:pStyle w:val="TableParagraph"/>
              <w:spacing w:line="246" w:lineRule="exact"/>
              <w:ind w:left="98"/>
              <w:rPr>
                <w:sz w:val="22"/>
              </w:rPr>
            </w:pPr>
            <w:r>
              <w:rPr>
                <w:spacing w:val="-2"/>
                <w:sz w:val="22"/>
              </w:rPr>
              <w:t>Point-to-Point</w:t>
            </w:r>
          </w:p>
        </w:tc>
        <w:tc>
          <w:tcPr>
            <w:tcW w:w="4816" w:type="dxa"/>
          </w:tcPr>
          <w:p>
            <w:pPr>
              <w:pStyle w:val="TableParagraph"/>
              <w:ind w:left="100"/>
              <w:rPr>
                <w:sz w:val="22"/>
              </w:rPr>
            </w:pPr>
            <w:r>
              <w:rPr>
                <w:sz w:val="22"/>
              </w:rPr>
              <w:t>Organizations</w:t>
            </w:r>
            <w:r>
              <w:rPr>
                <w:spacing w:val="-9"/>
                <w:sz w:val="22"/>
              </w:rPr>
              <w:t> </w:t>
            </w:r>
            <w:r>
              <w:rPr>
                <w:sz w:val="22"/>
              </w:rPr>
              <w:t>adopting</w:t>
            </w:r>
            <w:r>
              <w:rPr>
                <w:spacing w:val="-9"/>
                <w:sz w:val="22"/>
              </w:rPr>
              <w:t> </w:t>
            </w:r>
            <w:r>
              <w:rPr>
                <w:spacing w:val="-5"/>
                <w:sz w:val="22"/>
              </w:rPr>
              <w:t>(%)</w:t>
            </w:r>
          </w:p>
        </w:tc>
        <w:tc>
          <w:tcPr>
            <w:tcW w:w="879" w:type="dxa"/>
          </w:tcPr>
          <w:p>
            <w:pPr>
              <w:pStyle w:val="TableParagraph"/>
              <w:ind w:right="3"/>
              <w:jc w:val="center"/>
              <w:rPr>
                <w:sz w:val="22"/>
              </w:rPr>
            </w:pPr>
            <w:r>
              <w:rPr>
                <w:spacing w:val="-5"/>
                <w:sz w:val="22"/>
              </w:rPr>
              <w:t>78%</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77"/>
              <w:ind w:left="100"/>
              <w:rPr>
                <w:sz w:val="22"/>
              </w:rPr>
            </w:pPr>
            <w:r>
              <w:rPr>
                <w:sz w:val="22"/>
              </w:rPr>
              <w:t>Average</w:t>
            </w:r>
            <w:r>
              <w:rPr>
                <w:spacing w:val="-4"/>
                <w:sz w:val="22"/>
              </w:rPr>
              <w:t> </w:t>
            </w:r>
            <w:r>
              <w:rPr>
                <w:sz w:val="22"/>
              </w:rPr>
              <w:t>connections</w:t>
            </w:r>
            <w:r>
              <w:rPr>
                <w:spacing w:val="-3"/>
                <w:sz w:val="22"/>
              </w:rPr>
              <w:t> </w:t>
            </w:r>
            <w:r>
              <w:rPr>
                <w:sz w:val="22"/>
              </w:rPr>
              <w:t>with</w:t>
            </w:r>
            <w:r>
              <w:rPr>
                <w:spacing w:val="-5"/>
                <w:sz w:val="22"/>
              </w:rPr>
              <w:t> </w:t>
            </w:r>
            <w:r>
              <w:rPr>
                <w:sz w:val="22"/>
              </w:rPr>
              <w:t>26</w:t>
            </w:r>
            <w:r>
              <w:rPr>
                <w:spacing w:val="-3"/>
                <w:sz w:val="22"/>
              </w:rPr>
              <w:t> </w:t>
            </w:r>
            <w:r>
              <w:rPr>
                <w:sz w:val="22"/>
              </w:rPr>
              <w:t>core</w:t>
            </w:r>
            <w:r>
              <w:rPr>
                <w:spacing w:val="-3"/>
                <w:sz w:val="22"/>
              </w:rPr>
              <w:t> </w:t>
            </w:r>
            <w:r>
              <w:rPr>
                <w:spacing w:val="-2"/>
                <w:sz w:val="22"/>
              </w:rPr>
              <w:t>systems</w:t>
            </w:r>
          </w:p>
        </w:tc>
        <w:tc>
          <w:tcPr>
            <w:tcW w:w="879" w:type="dxa"/>
          </w:tcPr>
          <w:p>
            <w:pPr>
              <w:pStyle w:val="TableParagraph"/>
              <w:spacing w:line="240" w:lineRule="auto" w:before="77"/>
              <w:ind w:right="4"/>
              <w:jc w:val="center"/>
              <w:rPr>
                <w:sz w:val="22"/>
              </w:rPr>
            </w:pPr>
            <w:r>
              <w:rPr>
                <w:spacing w:val="-5"/>
                <w:sz w:val="22"/>
              </w:rPr>
              <w:t>317</w:t>
            </w:r>
          </w:p>
        </w:tc>
      </w:tr>
      <w:tr>
        <w:trPr>
          <w:trHeight w:val="436" w:hRule="atLeast"/>
        </w:trPr>
        <w:tc>
          <w:tcPr>
            <w:tcW w:w="1928" w:type="dxa"/>
            <w:vMerge/>
            <w:tcBorders>
              <w:top w:val="nil"/>
            </w:tcBorders>
          </w:tcPr>
          <w:p>
            <w:pPr>
              <w:rPr>
                <w:sz w:val="2"/>
                <w:szCs w:val="2"/>
              </w:rPr>
            </w:pPr>
          </w:p>
        </w:tc>
        <w:tc>
          <w:tcPr>
            <w:tcW w:w="4816" w:type="dxa"/>
          </w:tcPr>
          <w:p>
            <w:pPr>
              <w:pStyle w:val="TableParagraph"/>
              <w:spacing w:line="240" w:lineRule="auto" w:before="77"/>
              <w:ind w:left="100"/>
              <w:rPr>
                <w:sz w:val="22"/>
              </w:rPr>
            </w:pPr>
            <w:r>
              <w:rPr>
                <w:sz w:val="22"/>
              </w:rPr>
              <w:t>Breach</w:t>
            </w:r>
            <w:r>
              <w:rPr>
                <w:spacing w:val="-7"/>
                <w:sz w:val="22"/>
              </w:rPr>
              <w:t> </w:t>
            </w:r>
            <w:r>
              <w:rPr>
                <w:sz w:val="22"/>
              </w:rPr>
              <w:t>probability</w:t>
            </w:r>
            <w:r>
              <w:rPr>
                <w:spacing w:val="-7"/>
                <w:sz w:val="22"/>
              </w:rPr>
              <w:t> </w:t>
            </w:r>
            <w:r>
              <w:rPr>
                <w:sz w:val="22"/>
              </w:rPr>
              <w:t>increases</w:t>
            </w:r>
            <w:r>
              <w:rPr>
                <w:spacing w:val="-4"/>
                <w:sz w:val="22"/>
              </w:rPr>
              <w:t> </w:t>
            </w:r>
            <w:r>
              <w:rPr>
                <w:sz w:val="22"/>
              </w:rPr>
              <w:t>per</w:t>
            </w:r>
            <w:r>
              <w:rPr>
                <w:spacing w:val="-6"/>
                <w:sz w:val="22"/>
              </w:rPr>
              <w:t> </w:t>
            </w:r>
            <w:r>
              <w:rPr>
                <w:sz w:val="22"/>
              </w:rPr>
              <w:t>integration</w:t>
            </w:r>
            <w:r>
              <w:rPr>
                <w:spacing w:val="-7"/>
                <w:sz w:val="22"/>
              </w:rPr>
              <w:t> </w:t>
            </w:r>
            <w:r>
              <w:rPr>
                <w:spacing w:val="-2"/>
                <w:sz w:val="22"/>
              </w:rPr>
              <w:t>point</w:t>
            </w:r>
          </w:p>
        </w:tc>
        <w:tc>
          <w:tcPr>
            <w:tcW w:w="879" w:type="dxa"/>
          </w:tcPr>
          <w:p>
            <w:pPr>
              <w:pStyle w:val="TableParagraph"/>
              <w:spacing w:line="240" w:lineRule="auto" w:before="77"/>
              <w:jc w:val="center"/>
              <w:rPr>
                <w:sz w:val="22"/>
              </w:rPr>
            </w:pPr>
            <w:r>
              <w:rPr>
                <w:spacing w:val="-2"/>
                <w:sz w:val="22"/>
              </w:rPr>
              <w:t>0.70%</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80"/>
              <w:ind w:left="100"/>
              <w:rPr>
                <w:sz w:val="22"/>
              </w:rPr>
            </w:pPr>
            <w:r>
              <w:rPr>
                <w:sz w:val="22"/>
              </w:rPr>
              <w:t>Attack</w:t>
            </w:r>
            <w:r>
              <w:rPr>
                <w:spacing w:val="-7"/>
                <w:sz w:val="22"/>
              </w:rPr>
              <w:t> </w:t>
            </w:r>
            <w:r>
              <w:rPr>
                <w:sz w:val="22"/>
              </w:rPr>
              <w:t>surface</w:t>
            </w:r>
            <w:r>
              <w:rPr>
                <w:spacing w:val="-4"/>
                <w:sz w:val="22"/>
              </w:rPr>
              <w:t> </w:t>
            </w:r>
            <w:r>
              <w:rPr>
                <w:sz w:val="22"/>
              </w:rPr>
              <w:t>expansion</w:t>
            </w:r>
            <w:r>
              <w:rPr>
                <w:spacing w:val="-7"/>
                <w:sz w:val="22"/>
              </w:rPr>
              <w:t> </w:t>
            </w:r>
            <w:r>
              <w:rPr>
                <w:sz w:val="22"/>
              </w:rPr>
              <w:t>per</w:t>
            </w:r>
            <w:r>
              <w:rPr>
                <w:spacing w:val="-3"/>
                <w:sz w:val="22"/>
              </w:rPr>
              <w:t> </w:t>
            </w:r>
            <w:r>
              <w:rPr>
                <w:sz w:val="22"/>
              </w:rPr>
              <w:t>integration</w:t>
            </w:r>
            <w:r>
              <w:rPr>
                <w:spacing w:val="-4"/>
                <w:sz w:val="22"/>
              </w:rPr>
              <w:t> </w:t>
            </w:r>
            <w:r>
              <w:rPr>
                <w:spacing w:val="-2"/>
                <w:sz w:val="22"/>
              </w:rPr>
              <w:t>point</w:t>
            </w:r>
          </w:p>
        </w:tc>
        <w:tc>
          <w:tcPr>
            <w:tcW w:w="879" w:type="dxa"/>
          </w:tcPr>
          <w:p>
            <w:pPr>
              <w:pStyle w:val="TableParagraph"/>
              <w:spacing w:line="240" w:lineRule="auto" w:before="80"/>
              <w:jc w:val="center"/>
              <w:rPr>
                <w:sz w:val="22"/>
              </w:rPr>
            </w:pPr>
            <w:r>
              <w:rPr>
                <w:spacing w:val="-2"/>
                <w:sz w:val="22"/>
              </w:rPr>
              <w:t>1.30%</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80"/>
              <w:ind w:left="100"/>
              <w:rPr>
                <w:sz w:val="22"/>
              </w:rPr>
            </w:pPr>
            <w:r>
              <w:rPr>
                <w:sz w:val="22"/>
              </w:rPr>
              <w:t>Security</w:t>
            </w:r>
            <w:r>
              <w:rPr>
                <w:spacing w:val="-8"/>
                <w:sz w:val="22"/>
              </w:rPr>
              <w:t> </w:t>
            </w:r>
            <w:r>
              <w:rPr>
                <w:sz w:val="22"/>
              </w:rPr>
              <w:t>budget</w:t>
            </w:r>
            <w:r>
              <w:rPr>
                <w:spacing w:val="-6"/>
                <w:sz w:val="22"/>
              </w:rPr>
              <w:t> </w:t>
            </w:r>
            <w:r>
              <w:rPr>
                <w:sz w:val="22"/>
              </w:rPr>
              <w:t>increase</w:t>
            </w:r>
            <w:r>
              <w:rPr>
                <w:spacing w:val="-5"/>
                <w:sz w:val="22"/>
              </w:rPr>
              <w:t> </w:t>
            </w:r>
            <w:r>
              <w:rPr>
                <w:sz w:val="22"/>
              </w:rPr>
              <w:t>vs.</w:t>
            </w:r>
            <w:r>
              <w:rPr>
                <w:spacing w:val="-2"/>
                <w:sz w:val="22"/>
              </w:rPr>
              <w:t> </w:t>
            </w:r>
            <w:r>
              <w:rPr>
                <w:sz w:val="22"/>
              </w:rPr>
              <w:t>hub-and-</w:t>
            </w:r>
            <w:r>
              <w:rPr>
                <w:spacing w:val="-2"/>
                <w:sz w:val="22"/>
              </w:rPr>
              <w:t>spoke</w:t>
            </w:r>
          </w:p>
        </w:tc>
        <w:tc>
          <w:tcPr>
            <w:tcW w:w="879" w:type="dxa"/>
          </w:tcPr>
          <w:p>
            <w:pPr>
              <w:pStyle w:val="TableParagraph"/>
              <w:spacing w:line="240" w:lineRule="auto" w:before="80"/>
              <w:jc w:val="center"/>
              <w:rPr>
                <w:sz w:val="22"/>
              </w:rPr>
            </w:pPr>
            <w:r>
              <w:rPr>
                <w:spacing w:val="-2"/>
                <w:sz w:val="22"/>
              </w:rPr>
              <w:t>43.20%</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77"/>
              <w:ind w:left="100"/>
              <w:rPr>
                <w:sz w:val="22"/>
              </w:rPr>
            </w:pPr>
            <w:r>
              <w:rPr>
                <w:sz w:val="22"/>
              </w:rPr>
              <w:t>Mean</w:t>
            </w:r>
            <w:r>
              <w:rPr>
                <w:spacing w:val="-5"/>
                <w:sz w:val="22"/>
              </w:rPr>
              <w:t> </w:t>
            </w:r>
            <w:r>
              <w:rPr>
                <w:sz w:val="22"/>
              </w:rPr>
              <w:t>time</w:t>
            </w:r>
            <w:r>
              <w:rPr>
                <w:spacing w:val="-3"/>
                <w:sz w:val="22"/>
              </w:rPr>
              <w:t> </w:t>
            </w:r>
            <w:r>
              <w:rPr>
                <w:sz w:val="22"/>
              </w:rPr>
              <w:t>to</w:t>
            </w:r>
            <w:r>
              <w:rPr>
                <w:spacing w:val="-2"/>
                <w:sz w:val="22"/>
              </w:rPr>
              <w:t> </w:t>
            </w:r>
            <w:r>
              <w:rPr>
                <w:sz w:val="22"/>
              </w:rPr>
              <w:t>detect</w:t>
            </w:r>
            <w:r>
              <w:rPr>
                <w:spacing w:val="-5"/>
                <w:sz w:val="22"/>
              </w:rPr>
              <w:t> </w:t>
            </w:r>
            <w:r>
              <w:rPr>
                <w:sz w:val="22"/>
              </w:rPr>
              <w:t>breaches</w:t>
            </w:r>
            <w:r>
              <w:rPr>
                <w:spacing w:val="-2"/>
                <w:sz w:val="22"/>
              </w:rPr>
              <w:t> (hours)</w:t>
            </w:r>
          </w:p>
        </w:tc>
        <w:tc>
          <w:tcPr>
            <w:tcW w:w="879" w:type="dxa"/>
          </w:tcPr>
          <w:p>
            <w:pPr>
              <w:pStyle w:val="TableParagraph"/>
              <w:spacing w:line="240" w:lineRule="auto" w:before="77"/>
              <w:ind w:right="4"/>
              <w:jc w:val="center"/>
              <w:rPr>
                <w:sz w:val="22"/>
              </w:rPr>
            </w:pPr>
            <w:r>
              <w:rPr>
                <w:spacing w:val="-5"/>
                <w:sz w:val="22"/>
              </w:rPr>
              <w:t>97</w:t>
            </w:r>
          </w:p>
        </w:tc>
      </w:tr>
      <w:tr>
        <w:trPr>
          <w:trHeight w:val="251" w:hRule="atLeast"/>
        </w:trPr>
        <w:tc>
          <w:tcPr>
            <w:tcW w:w="1928" w:type="dxa"/>
            <w:vMerge w:val="restart"/>
          </w:tcPr>
          <w:p>
            <w:pPr>
              <w:pStyle w:val="TableParagraph"/>
              <w:spacing w:line="246" w:lineRule="exact"/>
              <w:ind w:left="98"/>
              <w:rPr>
                <w:sz w:val="22"/>
              </w:rPr>
            </w:pPr>
            <w:r>
              <w:rPr>
                <w:spacing w:val="-2"/>
                <w:sz w:val="22"/>
              </w:rPr>
              <w:t>Hub-and-Spoke</w:t>
            </w:r>
          </w:p>
        </w:tc>
        <w:tc>
          <w:tcPr>
            <w:tcW w:w="4816" w:type="dxa"/>
          </w:tcPr>
          <w:p>
            <w:pPr>
              <w:pStyle w:val="TableParagraph"/>
              <w:spacing w:line="231" w:lineRule="exact"/>
              <w:ind w:left="100"/>
              <w:rPr>
                <w:sz w:val="22"/>
              </w:rPr>
            </w:pPr>
            <w:r>
              <w:rPr>
                <w:sz w:val="22"/>
              </w:rPr>
              <w:t>Mean</w:t>
            </w:r>
            <w:r>
              <w:rPr>
                <w:spacing w:val="-5"/>
                <w:sz w:val="22"/>
              </w:rPr>
              <w:t> </w:t>
            </w:r>
            <w:r>
              <w:rPr>
                <w:sz w:val="22"/>
              </w:rPr>
              <w:t>time</w:t>
            </w:r>
            <w:r>
              <w:rPr>
                <w:spacing w:val="-3"/>
                <w:sz w:val="22"/>
              </w:rPr>
              <w:t> </w:t>
            </w:r>
            <w:r>
              <w:rPr>
                <w:sz w:val="22"/>
              </w:rPr>
              <w:t>to</w:t>
            </w:r>
            <w:r>
              <w:rPr>
                <w:spacing w:val="-2"/>
                <w:sz w:val="22"/>
              </w:rPr>
              <w:t> </w:t>
            </w:r>
            <w:r>
              <w:rPr>
                <w:sz w:val="22"/>
              </w:rPr>
              <w:t>detect</w:t>
            </w:r>
            <w:r>
              <w:rPr>
                <w:spacing w:val="-5"/>
                <w:sz w:val="22"/>
              </w:rPr>
              <w:t> </w:t>
            </w:r>
            <w:r>
              <w:rPr>
                <w:sz w:val="22"/>
              </w:rPr>
              <w:t>breaches</w:t>
            </w:r>
            <w:r>
              <w:rPr>
                <w:spacing w:val="-2"/>
                <w:sz w:val="22"/>
              </w:rPr>
              <w:t> (hours)</w:t>
            </w:r>
          </w:p>
        </w:tc>
        <w:tc>
          <w:tcPr>
            <w:tcW w:w="879" w:type="dxa"/>
          </w:tcPr>
          <w:p>
            <w:pPr>
              <w:pStyle w:val="TableParagraph"/>
              <w:spacing w:line="231" w:lineRule="exact"/>
              <w:ind w:right="4"/>
              <w:jc w:val="center"/>
              <w:rPr>
                <w:sz w:val="22"/>
              </w:rPr>
            </w:pPr>
            <w:r>
              <w:rPr>
                <w:spacing w:val="-5"/>
                <w:sz w:val="22"/>
              </w:rPr>
              <w:t>41</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80"/>
              <w:ind w:left="100"/>
              <w:rPr>
                <w:sz w:val="22"/>
              </w:rPr>
            </w:pPr>
            <w:r>
              <w:rPr>
                <w:sz w:val="22"/>
              </w:rPr>
              <w:t>Organizations</w:t>
            </w:r>
            <w:r>
              <w:rPr>
                <w:spacing w:val="-6"/>
                <w:sz w:val="22"/>
              </w:rPr>
              <w:t> </w:t>
            </w:r>
            <w:r>
              <w:rPr>
                <w:sz w:val="22"/>
              </w:rPr>
              <w:t>reporting</w:t>
            </w:r>
            <w:r>
              <w:rPr>
                <w:spacing w:val="-8"/>
                <w:sz w:val="22"/>
              </w:rPr>
              <w:t> </w:t>
            </w:r>
            <w:r>
              <w:rPr>
                <w:sz w:val="22"/>
              </w:rPr>
              <w:t>bottlenecks</w:t>
            </w:r>
            <w:r>
              <w:rPr>
                <w:spacing w:val="-5"/>
                <w:sz w:val="22"/>
              </w:rPr>
              <w:t> </w:t>
            </w:r>
            <w:r>
              <w:rPr>
                <w:sz w:val="22"/>
              </w:rPr>
              <w:t>at</w:t>
            </w:r>
            <w:r>
              <w:rPr>
                <w:spacing w:val="-4"/>
                <w:sz w:val="22"/>
              </w:rPr>
              <w:t> </w:t>
            </w:r>
            <w:r>
              <w:rPr>
                <w:sz w:val="22"/>
              </w:rPr>
              <w:t>high</w:t>
            </w:r>
            <w:r>
              <w:rPr>
                <w:spacing w:val="-5"/>
                <w:sz w:val="22"/>
              </w:rPr>
              <w:t> </w:t>
            </w:r>
            <w:r>
              <w:rPr>
                <w:spacing w:val="-2"/>
                <w:sz w:val="22"/>
              </w:rPr>
              <w:t>volumes</w:t>
            </w:r>
          </w:p>
        </w:tc>
        <w:tc>
          <w:tcPr>
            <w:tcW w:w="879" w:type="dxa"/>
          </w:tcPr>
          <w:p>
            <w:pPr>
              <w:pStyle w:val="TableParagraph"/>
              <w:spacing w:line="240" w:lineRule="auto" w:before="80"/>
              <w:jc w:val="center"/>
              <w:rPr>
                <w:sz w:val="22"/>
              </w:rPr>
            </w:pPr>
            <w:r>
              <w:rPr>
                <w:spacing w:val="-2"/>
                <w:sz w:val="22"/>
              </w:rPr>
              <w:t>63.70%</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80"/>
              <w:ind w:left="100"/>
              <w:rPr>
                <w:sz w:val="22"/>
              </w:rPr>
            </w:pPr>
            <w:r>
              <w:rPr>
                <w:sz w:val="22"/>
              </w:rPr>
              <w:t>Organizations</w:t>
            </w:r>
            <w:r>
              <w:rPr>
                <w:spacing w:val="-5"/>
                <w:sz w:val="22"/>
              </w:rPr>
              <w:t> </w:t>
            </w:r>
            <w:r>
              <w:rPr>
                <w:sz w:val="22"/>
              </w:rPr>
              <w:t>identifying</w:t>
            </w:r>
            <w:r>
              <w:rPr>
                <w:spacing w:val="-6"/>
                <w:sz w:val="22"/>
              </w:rPr>
              <w:t> </w:t>
            </w:r>
            <w:r>
              <w:rPr>
                <w:sz w:val="22"/>
              </w:rPr>
              <w:t>a</w:t>
            </w:r>
            <w:r>
              <w:rPr>
                <w:spacing w:val="-4"/>
                <w:sz w:val="22"/>
              </w:rPr>
              <w:t> </w:t>
            </w:r>
            <w:r>
              <w:rPr>
                <w:sz w:val="22"/>
              </w:rPr>
              <w:t>single</w:t>
            </w:r>
            <w:r>
              <w:rPr>
                <w:spacing w:val="-4"/>
                <w:sz w:val="22"/>
              </w:rPr>
              <w:t> </w:t>
            </w:r>
            <w:r>
              <w:rPr>
                <w:sz w:val="22"/>
              </w:rPr>
              <w:t>point</w:t>
            </w:r>
            <w:r>
              <w:rPr>
                <w:spacing w:val="-4"/>
                <w:sz w:val="22"/>
              </w:rPr>
              <w:t> </w:t>
            </w:r>
            <w:r>
              <w:rPr>
                <w:sz w:val="22"/>
              </w:rPr>
              <w:t>of</w:t>
            </w:r>
            <w:r>
              <w:rPr>
                <w:spacing w:val="-5"/>
                <w:sz w:val="22"/>
              </w:rPr>
              <w:t> </w:t>
            </w:r>
            <w:r>
              <w:rPr>
                <w:spacing w:val="-2"/>
                <w:sz w:val="22"/>
              </w:rPr>
              <w:t>failure</w:t>
            </w:r>
          </w:p>
        </w:tc>
        <w:tc>
          <w:tcPr>
            <w:tcW w:w="879" w:type="dxa"/>
          </w:tcPr>
          <w:p>
            <w:pPr>
              <w:pStyle w:val="TableParagraph"/>
              <w:spacing w:line="240" w:lineRule="auto" w:before="80"/>
              <w:jc w:val="center"/>
              <w:rPr>
                <w:sz w:val="22"/>
              </w:rPr>
            </w:pPr>
            <w:r>
              <w:rPr>
                <w:spacing w:val="-2"/>
                <w:sz w:val="22"/>
              </w:rPr>
              <w:t>71.20%</w:t>
            </w:r>
          </w:p>
        </w:tc>
      </w:tr>
      <w:tr>
        <w:trPr>
          <w:trHeight w:val="251" w:hRule="atLeast"/>
        </w:trPr>
        <w:tc>
          <w:tcPr>
            <w:tcW w:w="1928" w:type="dxa"/>
          </w:tcPr>
          <w:p>
            <w:pPr>
              <w:pStyle w:val="TableParagraph"/>
              <w:spacing w:line="231" w:lineRule="exact"/>
              <w:ind w:left="98"/>
              <w:rPr>
                <w:sz w:val="22"/>
              </w:rPr>
            </w:pPr>
            <w:r>
              <w:rPr>
                <w:spacing w:val="-2"/>
                <w:sz w:val="22"/>
              </w:rPr>
              <w:t>Hybrid</w:t>
            </w:r>
          </w:p>
        </w:tc>
        <w:tc>
          <w:tcPr>
            <w:tcW w:w="4816" w:type="dxa"/>
          </w:tcPr>
          <w:p>
            <w:pPr>
              <w:pStyle w:val="TableParagraph"/>
              <w:spacing w:line="231" w:lineRule="exact"/>
              <w:ind w:left="100"/>
              <w:rPr>
                <w:sz w:val="22"/>
              </w:rPr>
            </w:pPr>
            <w:r>
              <w:rPr>
                <w:sz w:val="22"/>
              </w:rPr>
              <w:t>Organizations</w:t>
            </w:r>
            <w:r>
              <w:rPr>
                <w:spacing w:val="-9"/>
                <w:sz w:val="22"/>
              </w:rPr>
              <w:t> </w:t>
            </w:r>
            <w:r>
              <w:rPr>
                <w:sz w:val="22"/>
              </w:rPr>
              <w:t>adopting</w:t>
            </w:r>
            <w:r>
              <w:rPr>
                <w:spacing w:val="-9"/>
                <w:sz w:val="22"/>
              </w:rPr>
              <w:t> </w:t>
            </w:r>
            <w:r>
              <w:rPr>
                <w:spacing w:val="-5"/>
                <w:sz w:val="22"/>
              </w:rPr>
              <w:t>(%)</w:t>
            </w:r>
          </w:p>
        </w:tc>
        <w:tc>
          <w:tcPr>
            <w:tcW w:w="879" w:type="dxa"/>
          </w:tcPr>
          <w:p>
            <w:pPr>
              <w:pStyle w:val="TableParagraph"/>
              <w:spacing w:line="231" w:lineRule="exact"/>
              <w:jc w:val="center"/>
              <w:rPr>
                <w:sz w:val="22"/>
              </w:rPr>
            </w:pPr>
            <w:r>
              <w:rPr>
                <w:spacing w:val="-2"/>
                <w:sz w:val="22"/>
              </w:rPr>
              <w:t>78.30%</w:t>
            </w:r>
          </w:p>
        </w:tc>
      </w:tr>
      <w:tr>
        <w:trPr>
          <w:trHeight w:val="253" w:hRule="atLeast"/>
        </w:trPr>
        <w:tc>
          <w:tcPr>
            <w:tcW w:w="1928" w:type="dxa"/>
            <w:vMerge w:val="restart"/>
          </w:tcPr>
          <w:p>
            <w:pPr>
              <w:pStyle w:val="TableParagraph"/>
              <w:spacing w:line="249" w:lineRule="exact"/>
              <w:ind w:left="98"/>
              <w:rPr>
                <w:sz w:val="22"/>
              </w:rPr>
            </w:pPr>
            <w:r>
              <w:rPr>
                <w:spacing w:val="-2"/>
                <w:sz w:val="22"/>
              </w:rPr>
              <w:t>Domain-specific</w:t>
            </w:r>
          </w:p>
        </w:tc>
        <w:tc>
          <w:tcPr>
            <w:tcW w:w="4816" w:type="dxa"/>
          </w:tcPr>
          <w:p>
            <w:pPr>
              <w:pStyle w:val="TableParagraph"/>
              <w:ind w:left="100"/>
              <w:rPr>
                <w:sz w:val="22"/>
              </w:rPr>
            </w:pPr>
            <w:r>
              <w:rPr>
                <w:sz w:val="22"/>
              </w:rPr>
              <w:t>Organizations</w:t>
            </w:r>
            <w:r>
              <w:rPr>
                <w:spacing w:val="-9"/>
                <w:sz w:val="22"/>
              </w:rPr>
              <w:t> </w:t>
            </w:r>
            <w:r>
              <w:rPr>
                <w:sz w:val="22"/>
              </w:rPr>
              <w:t>adopting</w:t>
            </w:r>
            <w:r>
              <w:rPr>
                <w:spacing w:val="-9"/>
                <w:sz w:val="22"/>
              </w:rPr>
              <w:t> </w:t>
            </w:r>
            <w:r>
              <w:rPr>
                <w:spacing w:val="-5"/>
                <w:sz w:val="22"/>
              </w:rPr>
              <w:t>(%)</w:t>
            </w:r>
          </w:p>
        </w:tc>
        <w:tc>
          <w:tcPr>
            <w:tcW w:w="879" w:type="dxa"/>
          </w:tcPr>
          <w:p>
            <w:pPr>
              <w:pStyle w:val="TableParagraph"/>
              <w:jc w:val="center"/>
              <w:rPr>
                <w:sz w:val="22"/>
              </w:rPr>
            </w:pPr>
            <w:r>
              <w:rPr>
                <w:spacing w:val="-2"/>
                <w:sz w:val="22"/>
              </w:rPr>
              <w:t>67.10%</w:t>
            </w:r>
          </w:p>
        </w:tc>
      </w:tr>
      <w:tr>
        <w:trPr>
          <w:trHeight w:val="438" w:hRule="atLeast"/>
        </w:trPr>
        <w:tc>
          <w:tcPr>
            <w:tcW w:w="1928" w:type="dxa"/>
            <w:vMerge/>
            <w:tcBorders>
              <w:top w:val="nil"/>
            </w:tcBorders>
          </w:tcPr>
          <w:p>
            <w:pPr>
              <w:rPr>
                <w:sz w:val="2"/>
                <w:szCs w:val="2"/>
              </w:rPr>
            </w:pPr>
          </w:p>
        </w:tc>
        <w:tc>
          <w:tcPr>
            <w:tcW w:w="4816" w:type="dxa"/>
          </w:tcPr>
          <w:p>
            <w:pPr>
              <w:pStyle w:val="TableParagraph"/>
              <w:spacing w:line="240" w:lineRule="auto" w:before="80"/>
              <w:ind w:left="100"/>
              <w:rPr>
                <w:sz w:val="22"/>
              </w:rPr>
            </w:pPr>
            <w:r>
              <w:rPr>
                <w:sz w:val="22"/>
              </w:rPr>
              <w:t>Security</w:t>
            </w:r>
            <w:r>
              <w:rPr>
                <w:spacing w:val="-7"/>
                <w:sz w:val="22"/>
              </w:rPr>
              <w:t> </w:t>
            </w:r>
            <w:r>
              <w:rPr>
                <w:sz w:val="22"/>
              </w:rPr>
              <w:t>incident</w:t>
            </w:r>
            <w:r>
              <w:rPr>
                <w:spacing w:val="-6"/>
                <w:sz w:val="22"/>
              </w:rPr>
              <w:t> </w:t>
            </w:r>
            <w:r>
              <w:rPr>
                <w:sz w:val="22"/>
              </w:rPr>
              <w:t>reduction</w:t>
            </w:r>
            <w:r>
              <w:rPr>
                <w:spacing w:val="-6"/>
                <w:sz w:val="22"/>
              </w:rPr>
              <w:t> </w:t>
            </w:r>
            <w:r>
              <w:rPr>
                <w:spacing w:val="-5"/>
                <w:sz w:val="22"/>
              </w:rPr>
              <w:t>(%)</w:t>
            </w:r>
          </w:p>
        </w:tc>
        <w:tc>
          <w:tcPr>
            <w:tcW w:w="879" w:type="dxa"/>
          </w:tcPr>
          <w:p>
            <w:pPr>
              <w:pStyle w:val="TableParagraph"/>
              <w:spacing w:line="240" w:lineRule="auto" w:before="80"/>
              <w:ind w:right="3"/>
              <w:jc w:val="center"/>
              <w:rPr>
                <w:sz w:val="22"/>
              </w:rPr>
            </w:pPr>
            <w:r>
              <w:rPr>
                <w:spacing w:val="-5"/>
                <w:sz w:val="22"/>
              </w:rPr>
              <w:t>37%</w:t>
            </w:r>
          </w:p>
        </w:tc>
      </w:tr>
      <w:tr>
        <w:trPr>
          <w:trHeight w:val="254" w:hRule="atLeast"/>
        </w:trPr>
        <w:tc>
          <w:tcPr>
            <w:tcW w:w="1928" w:type="dxa"/>
          </w:tcPr>
          <w:p>
            <w:pPr>
              <w:pStyle w:val="TableParagraph"/>
              <w:ind w:left="98"/>
              <w:rPr>
                <w:sz w:val="22"/>
              </w:rPr>
            </w:pPr>
            <w:r>
              <w:rPr>
                <w:sz w:val="22"/>
              </w:rPr>
              <w:t>API</w:t>
            </w:r>
            <w:r>
              <w:rPr>
                <w:spacing w:val="-7"/>
                <w:sz w:val="22"/>
              </w:rPr>
              <w:t> </w:t>
            </w:r>
            <w:r>
              <w:rPr>
                <w:spacing w:val="-2"/>
                <w:sz w:val="22"/>
              </w:rPr>
              <w:t>Gateway</w:t>
            </w:r>
          </w:p>
        </w:tc>
        <w:tc>
          <w:tcPr>
            <w:tcW w:w="4816" w:type="dxa"/>
          </w:tcPr>
          <w:p>
            <w:pPr>
              <w:pStyle w:val="TableParagraph"/>
              <w:ind w:left="100"/>
              <w:rPr>
                <w:sz w:val="22"/>
              </w:rPr>
            </w:pPr>
            <w:r>
              <w:rPr>
                <w:sz w:val="22"/>
              </w:rPr>
              <w:t>Organizations</w:t>
            </w:r>
            <w:r>
              <w:rPr>
                <w:spacing w:val="-9"/>
                <w:sz w:val="22"/>
              </w:rPr>
              <w:t> </w:t>
            </w:r>
            <w:r>
              <w:rPr>
                <w:sz w:val="22"/>
              </w:rPr>
              <w:t>adopting</w:t>
            </w:r>
            <w:r>
              <w:rPr>
                <w:spacing w:val="-9"/>
                <w:sz w:val="22"/>
              </w:rPr>
              <w:t> </w:t>
            </w:r>
            <w:r>
              <w:rPr>
                <w:spacing w:val="-5"/>
                <w:sz w:val="22"/>
              </w:rPr>
              <w:t>(%)</w:t>
            </w:r>
          </w:p>
        </w:tc>
        <w:tc>
          <w:tcPr>
            <w:tcW w:w="879" w:type="dxa"/>
          </w:tcPr>
          <w:p>
            <w:pPr>
              <w:pStyle w:val="TableParagraph"/>
              <w:jc w:val="center"/>
              <w:rPr>
                <w:sz w:val="22"/>
              </w:rPr>
            </w:pPr>
            <w:r>
              <w:rPr>
                <w:spacing w:val="-2"/>
                <w:sz w:val="22"/>
              </w:rPr>
              <w:t>91.20%</w:t>
            </w:r>
          </w:p>
        </w:tc>
      </w:tr>
    </w:tbl>
    <w:p>
      <w:pPr>
        <w:pStyle w:val="BodyText"/>
        <w:spacing w:before="1"/>
        <w:ind w:left="0"/>
        <w:jc w:val="left"/>
        <w:rPr>
          <w:sz w:val="6"/>
        </w:rPr>
      </w:pPr>
    </w:p>
    <w:p>
      <w:pPr>
        <w:pStyle w:val="BodyText"/>
        <w:spacing w:after="0"/>
        <w:jc w:val="left"/>
        <w:rPr>
          <w:sz w:val="6"/>
        </w:rPr>
        <w:sectPr>
          <w:type w:val="continuous"/>
          <w:pgSz w:w="11910" w:h="16840"/>
          <w:pgMar w:header="1025" w:footer="1033" w:top="440" w:bottom="1220" w:left="850" w:right="850"/>
        </w:sectPr>
      </w:pPr>
    </w:p>
    <w:p>
      <w:pPr>
        <w:pStyle w:val="Heading2"/>
        <w:tabs>
          <w:tab w:pos="1993" w:val="left" w:leader="none"/>
          <w:tab w:pos="3521" w:val="left" w:leader="none"/>
        </w:tabs>
        <w:spacing w:line="216" w:lineRule="auto" w:before="73"/>
        <w:ind w:right="42"/>
      </w:pPr>
      <w:r>
        <w:rPr>
          <w:color w:val="4F81BC"/>
          <w:spacing w:val="-2"/>
        </w:rPr>
        <w:t>SECURE</w:t>
      </w:r>
      <w:r>
        <w:rPr>
          <w:color w:val="4F81BC"/>
        </w:rPr>
        <w:tab/>
      </w:r>
      <w:r>
        <w:rPr>
          <w:color w:val="4F81BC"/>
          <w:spacing w:val="-4"/>
        </w:rPr>
        <w:t>DATA</w:t>
      </w:r>
      <w:r>
        <w:rPr>
          <w:color w:val="4F81BC"/>
        </w:rPr>
        <w:tab/>
      </w:r>
      <w:r>
        <w:rPr>
          <w:color w:val="4F81BC"/>
          <w:spacing w:val="-2"/>
        </w:rPr>
        <w:t>PAYLOAD STRATEGIES</w:t>
      </w:r>
    </w:p>
    <w:p>
      <w:pPr>
        <w:pStyle w:val="BodyText"/>
        <w:ind w:right="38"/>
      </w:pPr>
      <w:r>
        <w:rPr/>
        <w:t>Financial data payloads demand sophisticated protection strategies beyond transport-level security, with comprehensive analysis revealing significant differences in breach outcomes based</w:t>
      </w:r>
      <w:r>
        <w:rPr>
          <w:spacing w:val="40"/>
        </w:rPr>
        <w:t> </w:t>
      </w:r>
      <w:r>
        <w:rPr/>
        <w:t>on implemented techniques. Organizations</w:t>
      </w:r>
      <w:r>
        <w:rPr>
          <w:spacing w:val="40"/>
        </w:rPr>
        <w:t> </w:t>
      </w:r>
      <w:r>
        <w:rPr/>
        <w:t>utilizing tokenization as their primary data protection</w:t>
      </w:r>
      <w:r>
        <w:rPr>
          <w:spacing w:val="-3"/>
        </w:rPr>
        <w:t> </w:t>
      </w:r>
      <w:r>
        <w:rPr/>
        <w:t>strategy</w:t>
      </w:r>
      <w:r>
        <w:rPr>
          <w:spacing w:val="-6"/>
        </w:rPr>
        <w:t> </w:t>
      </w:r>
      <w:r>
        <w:rPr/>
        <w:t>experience</w:t>
      </w:r>
      <w:r>
        <w:rPr>
          <w:spacing w:val="-3"/>
        </w:rPr>
        <w:t> </w:t>
      </w:r>
      <w:r>
        <w:rPr/>
        <w:t>62%</w:t>
      </w:r>
      <w:r>
        <w:rPr>
          <w:spacing w:val="-3"/>
        </w:rPr>
        <w:t> </w:t>
      </w:r>
      <w:r>
        <w:rPr/>
        <w:t>reduced</w:t>
      </w:r>
      <w:r>
        <w:rPr>
          <w:spacing w:val="-3"/>
        </w:rPr>
        <w:t> </w:t>
      </w:r>
      <w:r>
        <w:rPr/>
        <w:t>breach impacts compared to those relying solely on encryption, with average financial losses decreasing from</w:t>
      </w:r>
      <w:r>
        <w:rPr>
          <w:spacing w:val="-1"/>
        </w:rPr>
        <w:t> </w:t>
      </w:r>
      <w:r>
        <w:rPr/>
        <w:t>$5.73 million to $2.18 million per incident, according to an analysis of 487 financial institutions across 32 countries (Patel, U. 2024). The effectiveness of tokenization varies by data type,</w:t>
      </w:r>
      <w:r>
        <w:rPr>
          <w:spacing w:val="24"/>
        </w:rPr>
        <w:t> </w:t>
      </w:r>
      <w:r>
        <w:rPr/>
        <w:t>with</w:t>
      </w:r>
      <w:r>
        <w:rPr>
          <w:spacing w:val="24"/>
        </w:rPr>
        <w:t> </w:t>
      </w:r>
      <w:r>
        <w:rPr/>
        <w:t>payment</w:t>
      </w:r>
      <w:r>
        <w:rPr>
          <w:spacing w:val="25"/>
        </w:rPr>
        <w:t> </w:t>
      </w:r>
      <w:r>
        <w:rPr/>
        <w:t>card</w:t>
      </w:r>
      <w:r>
        <w:rPr>
          <w:spacing w:val="24"/>
        </w:rPr>
        <w:t> </w:t>
      </w:r>
      <w:r>
        <w:rPr/>
        <w:t>information</w:t>
      </w:r>
      <w:r>
        <w:rPr>
          <w:spacing w:val="24"/>
        </w:rPr>
        <w:t> </w:t>
      </w:r>
      <w:r>
        <w:rPr/>
        <w:t>showing</w:t>
      </w:r>
      <w:r>
        <w:rPr>
          <w:spacing w:val="22"/>
        </w:rPr>
        <w:t> </w:t>
      </w:r>
      <w:r>
        <w:rPr>
          <w:spacing w:val="-5"/>
        </w:rPr>
        <w:t>the</w:t>
      </w:r>
    </w:p>
    <w:p>
      <w:pPr>
        <w:pStyle w:val="BodyText"/>
        <w:spacing w:before="68"/>
        <w:ind w:right="223"/>
      </w:pPr>
      <w:r>
        <w:rPr/>
        <w:br w:type="column"/>
      </w:r>
      <w:r>
        <w:rPr/>
        <w:t>highest</w:t>
      </w:r>
      <w:r>
        <w:rPr>
          <w:spacing w:val="-4"/>
        </w:rPr>
        <w:t> </w:t>
      </w:r>
      <w:r>
        <w:rPr/>
        <w:t>protection</w:t>
      </w:r>
      <w:r>
        <w:rPr>
          <w:spacing w:val="-3"/>
        </w:rPr>
        <w:t> </w:t>
      </w:r>
      <w:r>
        <w:rPr/>
        <w:t>benefit</w:t>
      </w:r>
      <w:r>
        <w:rPr>
          <w:spacing w:val="-4"/>
        </w:rPr>
        <w:t> </w:t>
      </w:r>
      <w:r>
        <w:rPr/>
        <w:t>(87%</w:t>
      </w:r>
      <w:r>
        <w:rPr>
          <w:spacing w:val="-5"/>
        </w:rPr>
        <w:t> </w:t>
      </w:r>
      <w:r>
        <w:rPr/>
        <w:t>reduced</w:t>
      </w:r>
      <w:r>
        <w:rPr>
          <w:spacing w:val="-5"/>
        </w:rPr>
        <w:t> </w:t>
      </w:r>
      <w:r>
        <w:rPr/>
        <w:t>exposure), followed by account numbers (73%) and personal identifiers (58%), driving implementation rates from</w:t>
      </w:r>
      <w:r>
        <w:rPr>
          <w:spacing w:val="-4"/>
        </w:rPr>
        <w:t> </w:t>
      </w:r>
      <w:r>
        <w:rPr/>
        <w:t>47% in 2022</w:t>
      </w:r>
      <w:r>
        <w:rPr>
          <w:spacing w:val="-2"/>
        </w:rPr>
        <w:t> </w:t>
      </w:r>
      <w:r>
        <w:rPr/>
        <w:t>to 76% in 2024 among</w:t>
      </w:r>
      <w:r>
        <w:rPr>
          <w:spacing w:val="-3"/>
        </w:rPr>
        <w:t> </w:t>
      </w:r>
      <w:r>
        <w:rPr/>
        <w:t>financial enterprises processing an average of 1.7 million transactions daily (InCountry, 2023). This acceleration is primarily driven by the 73% reduction in PCI DSS compliance scope achieved through tokenization, resulting in annual audit cost savings averaging $432,000 for institutions with over $50 billion in assets under management while simultaneously reducing compliance-related staffing requirements by 3.7 full-time equivalents (Patel, U. 2024).</w:t>
      </w:r>
    </w:p>
    <w:p>
      <w:pPr>
        <w:pStyle w:val="BodyText"/>
        <w:spacing w:before="138"/>
        <w:ind w:right="228"/>
      </w:pPr>
      <w:r>
        <w:rPr/>
        <w:t>Field-level PII masking has emerged as a critical complementary</w:t>
      </w:r>
      <w:r>
        <w:rPr>
          <w:spacing w:val="67"/>
        </w:rPr>
        <w:t> </w:t>
      </w:r>
      <w:r>
        <w:rPr/>
        <w:t>strategy,</w:t>
      </w:r>
      <w:r>
        <w:rPr>
          <w:spacing w:val="73"/>
        </w:rPr>
        <w:t> </w:t>
      </w:r>
      <w:r>
        <w:rPr/>
        <w:t>with</w:t>
      </w:r>
      <w:r>
        <w:rPr>
          <w:spacing w:val="70"/>
        </w:rPr>
        <w:t> </w:t>
      </w:r>
      <w:r>
        <w:rPr/>
        <w:t>83%</w:t>
      </w:r>
      <w:r>
        <w:rPr>
          <w:spacing w:val="72"/>
        </w:rPr>
        <w:t> </w:t>
      </w:r>
      <w:r>
        <w:rPr/>
        <w:t>of</w:t>
      </w:r>
      <w:r>
        <w:rPr>
          <w:spacing w:val="72"/>
        </w:rPr>
        <w:t> </w:t>
      </w:r>
      <w:r>
        <w:rPr>
          <w:spacing w:val="-2"/>
        </w:rPr>
        <w:t>financial</w:t>
      </w:r>
    </w:p>
    <w:p>
      <w:pPr>
        <w:pStyle w:val="BodyText"/>
        <w:spacing w:after="0"/>
        <w:sectPr>
          <w:type w:val="continuous"/>
          <w:pgSz w:w="11910" w:h="16840"/>
          <w:pgMar w:header="1025" w:footer="1033" w:top="440" w:bottom="1220" w:left="850" w:right="850"/>
          <w:cols w:num="2" w:equalWidth="0">
            <w:col w:w="4793" w:space="435"/>
            <w:col w:w="4982"/>
          </w:cols>
        </w:sectPr>
      </w:pPr>
    </w:p>
    <w:p>
      <w:pPr>
        <w:pStyle w:val="BodyText"/>
        <w:spacing w:before="165"/>
        <w:ind w:right="38"/>
      </w:pPr>
      <w:r>
        <w:rPr/>
        <mc:AlternateContent>
          <mc:Choice Requires="wps">
            <w:drawing>
              <wp:anchor distT="0" distB="0" distL="0" distR="0" allowOverlap="1" layoutInCell="1" locked="0" behindDoc="0" simplePos="0" relativeHeight="15733248">
                <wp:simplePos x="0" y="0"/>
                <wp:positionH relativeFrom="page">
                  <wp:posOffset>667512</wp:posOffset>
                </wp:positionH>
                <wp:positionV relativeFrom="paragraph">
                  <wp:posOffset>76351</wp:posOffset>
                </wp:positionV>
                <wp:extent cx="6227445" cy="127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3248" id="docshape15" filled="true" fillcolor="#17365d" stroked="false">
                <v:fill type="solid"/>
                <w10:wrap type="none"/>
              </v:rect>
            </w:pict>
          </mc:Fallback>
        </mc:AlternateContent>
      </w:r>
      <w:r>
        <w:rPr/>
        <w:t>organizations implementing granular data protection mechanisms to address the challenges</w:t>
      </w:r>
      <w:r>
        <w:rPr>
          <w:spacing w:val="80"/>
        </w:rPr>
        <w:t> </w:t>
      </w:r>
      <w:r>
        <w:rPr/>
        <w:t>of heterogeneous system integration landscapes encompassing an average of 23 distinct platforms per enterprise (InCountry, 2023). These organizations report a 93.7% decrease in sensitive data exposure incidents compared to those employing coarse-grained masking approaches, with financial</w:t>
      </w:r>
      <w:r>
        <w:rPr>
          <w:spacing w:val="1"/>
        </w:rPr>
        <w:t> </w:t>
      </w:r>
      <w:r>
        <w:rPr/>
        <w:t>institutions</w:t>
      </w:r>
      <w:r>
        <w:rPr>
          <w:spacing w:val="1"/>
        </w:rPr>
        <w:t> </w:t>
      </w:r>
      <w:r>
        <w:rPr/>
        <w:t>processing</w:t>
      </w:r>
      <w:r>
        <w:rPr>
          <w:spacing w:val="-2"/>
        </w:rPr>
        <w:t> </w:t>
      </w:r>
      <w:r>
        <w:rPr/>
        <w:t>an</w:t>
      </w:r>
      <w:r>
        <w:rPr>
          <w:spacing w:val="1"/>
        </w:rPr>
        <w:t> </w:t>
      </w:r>
      <w:r>
        <w:rPr/>
        <w:t>average</w:t>
      </w:r>
      <w:r>
        <w:rPr>
          <w:spacing w:val="2"/>
        </w:rPr>
        <w:t> </w:t>
      </w:r>
      <w:r>
        <w:rPr>
          <w:spacing w:val="-5"/>
        </w:rPr>
        <w:t>of</w:t>
      </w:r>
    </w:p>
    <w:p>
      <w:pPr>
        <w:pStyle w:val="BodyText"/>
        <w:ind w:right="38"/>
      </w:pPr>
      <w:r>
        <w:rPr/>
        <w:t>3.2 million customer records daily across 17 distinct systems requiring differentiated access controls based on 24 distinct regulatory frameworks worldwide (Patel, U. 2024). Modern implementations leverage attribute-based access control (ABAC), which has been adopted by 67% of financial enterprises, enabling them to dynamically mask or unmask 37 distinct data elements based on 12-18 contextual factors including recipient system authorization,</w:t>
      </w:r>
      <w:r>
        <w:rPr>
          <w:spacing w:val="40"/>
        </w:rPr>
        <w:t> </w:t>
      </w:r>
      <w:r>
        <w:rPr/>
        <w:t>regulatory jurisdiction, and data sensitivity classification, resulting in 142,000 fewer unauthorized data access events annually per institution compared to role-based approaches (InCountry, 2023).</w:t>
      </w:r>
    </w:p>
    <w:p>
      <w:pPr>
        <w:pStyle w:val="BodyText"/>
        <w:spacing w:before="138"/>
        <w:ind w:right="38"/>
      </w:pPr>
      <w:r>
        <w:rPr/>
        <w:t>While</w:t>
      </w:r>
      <w:r>
        <w:rPr>
          <w:spacing w:val="-1"/>
        </w:rPr>
        <w:t> </w:t>
      </w:r>
      <w:r>
        <w:rPr/>
        <w:t>encryption</w:t>
      </w:r>
      <w:r>
        <w:rPr>
          <w:spacing w:val="-2"/>
        </w:rPr>
        <w:t> </w:t>
      </w:r>
      <w:r>
        <w:rPr/>
        <w:t>remains</w:t>
      </w:r>
      <w:r>
        <w:rPr>
          <w:spacing w:val="-1"/>
        </w:rPr>
        <w:t> </w:t>
      </w:r>
      <w:r>
        <w:rPr/>
        <w:t>fundamental</w:t>
      </w:r>
      <w:r>
        <w:rPr>
          <w:spacing w:val="-3"/>
        </w:rPr>
        <w:t> </w:t>
      </w:r>
      <w:r>
        <w:rPr/>
        <w:t>to</w:t>
      </w:r>
      <w:r>
        <w:rPr>
          <w:spacing w:val="-2"/>
        </w:rPr>
        <w:t> </w:t>
      </w:r>
      <w:r>
        <w:rPr/>
        <w:t>financial data protection, implementation approaches vary significantly across the sector, with symmetric encryption demonstrating 47% better performance for large datasets (&gt;500MB) but introducing key management challenges that increase operational costs by approximately $347,000 annually for the average financial institution managing 14,300 encryption keys across their environment (Patel,</w:t>
      </w:r>
      <w:r>
        <w:rPr>
          <w:spacing w:val="80"/>
        </w:rPr>
        <w:t> </w:t>
      </w:r>
      <w:r>
        <w:rPr/>
        <w:t>U. 2024). These challenges have driven 72% of financial organizations to adopt asymmetric approaches for cross-organizational integrations, despite the 36% increased computational overhead resulting in average transaction processing delays of</w:t>
      </w:r>
      <w:r>
        <w:rPr>
          <w:spacing w:val="27"/>
        </w:rPr>
        <w:t>  </w:t>
      </w:r>
      <w:r>
        <w:rPr/>
        <w:t>47</w:t>
      </w:r>
      <w:r>
        <w:rPr>
          <w:spacing w:val="26"/>
        </w:rPr>
        <w:t>  </w:t>
      </w:r>
      <w:r>
        <w:rPr/>
        <w:t>milliseconds,</w:t>
      </w:r>
      <w:r>
        <w:rPr>
          <w:spacing w:val="27"/>
        </w:rPr>
        <w:t>  </w:t>
      </w:r>
      <w:r>
        <w:rPr/>
        <w:t>with</w:t>
      </w:r>
      <w:r>
        <w:rPr>
          <w:spacing w:val="27"/>
        </w:rPr>
        <w:t>  </w:t>
      </w:r>
      <w:r>
        <w:rPr/>
        <w:t>key</w:t>
      </w:r>
      <w:r>
        <w:rPr>
          <w:spacing w:val="26"/>
        </w:rPr>
        <w:t>  </w:t>
      </w:r>
      <w:r>
        <w:rPr/>
        <w:t>rotation</w:t>
      </w:r>
      <w:r>
        <w:rPr>
          <w:spacing w:val="27"/>
        </w:rPr>
        <w:t>  </w:t>
      </w:r>
      <w:r>
        <w:rPr>
          <w:spacing w:val="-2"/>
        </w:rPr>
        <w:t>cycles</w:t>
      </w:r>
    </w:p>
    <w:p>
      <w:pPr>
        <w:pStyle w:val="BodyText"/>
        <w:spacing w:before="165"/>
        <w:ind w:right="224"/>
      </w:pPr>
      <w:r>
        <w:rPr/>
        <w:br w:type="column"/>
      </w:r>
      <w:r>
        <w:rPr/>
        <w:t>averaging</w:t>
      </w:r>
      <w:r>
        <w:rPr>
          <w:spacing w:val="-4"/>
        </w:rPr>
        <w:t> </w:t>
      </w:r>
      <w:r>
        <w:rPr/>
        <w:t>31</w:t>
      </w:r>
      <w:r>
        <w:rPr>
          <w:spacing w:val="-1"/>
        </w:rPr>
        <w:t> </w:t>
      </w:r>
      <w:r>
        <w:rPr/>
        <w:t>days</w:t>
      </w:r>
      <w:r>
        <w:rPr>
          <w:spacing w:val="-1"/>
        </w:rPr>
        <w:t> </w:t>
      </w:r>
      <w:r>
        <w:rPr/>
        <w:t>compared</w:t>
      </w:r>
      <w:r>
        <w:rPr>
          <w:spacing w:val="-1"/>
        </w:rPr>
        <w:t> </w:t>
      </w:r>
      <w:r>
        <w:rPr/>
        <w:t>to</w:t>
      </w:r>
      <w:r>
        <w:rPr>
          <w:spacing w:val="-1"/>
        </w:rPr>
        <w:t> </w:t>
      </w:r>
      <w:r>
        <w:rPr/>
        <w:t>92</w:t>
      </w:r>
      <w:r>
        <w:rPr>
          <w:spacing w:val="-1"/>
        </w:rPr>
        <w:t> </w:t>
      </w:r>
      <w:r>
        <w:rPr/>
        <w:t>days</w:t>
      </w:r>
      <w:r>
        <w:rPr>
          <w:spacing w:val="-1"/>
        </w:rPr>
        <w:t> </w:t>
      </w:r>
      <w:r>
        <w:rPr/>
        <w:t>in</w:t>
      </w:r>
      <w:r>
        <w:rPr>
          <w:spacing w:val="-1"/>
        </w:rPr>
        <w:t> </w:t>
      </w:r>
      <w:r>
        <w:rPr/>
        <w:t>2020,</w:t>
      </w:r>
      <w:r>
        <w:rPr>
          <w:spacing w:val="-1"/>
        </w:rPr>
        <w:t> </w:t>
      </w:r>
      <w:r>
        <w:rPr/>
        <w:t>as threat sophistication has increased (InCountry, 2023). Homomorphic encryption, though still emerging with only 17% adoption primarily</w:t>
      </w:r>
      <w:r>
        <w:rPr>
          <w:spacing w:val="40"/>
        </w:rPr>
        <w:t> </w:t>
      </w:r>
      <w:r>
        <w:rPr/>
        <w:t>among institutions with assets exceeding $100 billion,</w:t>
      </w:r>
      <w:r>
        <w:rPr>
          <w:spacing w:val="-2"/>
        </w:rPr>
        <w:t> </w:t>
      </w:r>
      <w:r>
        <w:rPr/>
        <w:t>has</w:t>
      </w:r>
      <w:r>
        <w:rPr>
          <w:spacing w:val="-4"/>
        </w:rPr>
        <w:t> </w:t>
      </w:r>
      <w:r>
        <w:rPr/>
        <w:t>shown</w:t>
      </w:r>
      <w:r>
        <w:rPr>
          <w:spacing w:val="-3"/>
        </w:rPr>
        <w:t> </w:t>
      </w:r>
      <w:r>
        <w:rPr/>
        <w:t>remarkable</w:t>
      </w:r>
      <w:r>
        <w:rPr>
          <w:spacing w:val="-2"/>
        </w:rPr>
        <w:t> </w:t>
      </w:r>
      <w:r>
        <w:rPr/>
        <w:t>promise</w:t>
      </w:r>
      <w:r>
        <w:rPr>
          <w:spacing w:val="-1"/>
        </w:rPr>
        <w:t> </w:t>
      </w:r>
      <w:r>
        <w:rPr/>
        <w:t>by</w:t>
      </w:r>
      <w:r>
        <w:rPr>
          <w:spacing w:val="-5"/>
        </w:rPr>
        <w:t> </w:t>
      </w:r>
      <w:r>
        <w:rPr/>
        <w:t>enabling calculations on encrypted financial data without decryption, reducing data exposure incidents by 94.2% in fraud detection and credit scoring integrations while maintaining analytical accuracy within 3.7% of unencrypted processing despite requiring 317% more computational resources (Patel, U. 2024).</w:t>
      </w:r>
    </w:p>
    <w:p>
      <w:pPr>
        <w:pStyle w:val="BodyText"/>
        <w:spacing w:before="139"/>
        <w:ind w:right="224"/>
      </w:pPr>
      <w:r>
        <w:rPr/>
        <w:t>Format-preserving encryption (FPE) has gained substantial traction in financial integrations, with implementation rates rising</w:t>
      </w:r>
      <w:r>
        <w:rPr>
          <w:spacing w:val="-1"/>
        </w:rPr>
        <w:t> </w:t>
      </w:r>
      <w:r>
        <w:rPr/>
        <w:t>from</w:t>
      </w:r>
      <w:r>
        <w:rPr>
          <w:spacing w:val="-2"/>
        </w:rPr>
        <w:t> </w:t>
      </w:r>
      <w:r>
        <w:rPr/>
        <w:t>28% to 59% over the past 36 months as organizations seek to</w:t>
      </w:r>
      <w:r>
        <w:rPr>
          <w:spacing w:val="40"/>
        </w:rPr>
        <w:t> </w:t>
      </w:r>
      <w:r>
        <w:rPr/>
        <w:t>balance security requirements with operational efficiency (InCountry, 2023). This approach maintains the format and length of original data, enabling secure transmission without schema changes in receiving systems and reducing integration project timelines by an average of 47 days compared to implementations requiring extensive schema modifications, with particularly strong adoption (78%) among institutions with significant</w:t>
      </w:r>
      <w:r>
        <w:rPr>
          <w:spacing w:val="-1"/>
        </w:rPr>
        <w:t> </w:t>
      </w:r>
      <w:r>
        <w:rPr/>
        <w:t>legacy</w:t>
      </w:r>
      <w:r>
        <w:rPr>
          <w:spacing w:val="-5"/>
        </w:rPr>
        <w:t> </w:t>
      </w:r>
      <w:r>
        <w:rPr/>
        <w:t>infrastructure</w:t>
      </w:r>
      <w:r>
        <w:rPr>
          <w:spacing w:val="-2"/>
        </w:rPr>
        <w:t> </w:t>
      </w:r>
      <w:r>
        <w:rPr/>
        <w:t>dating</w:t>
      </w:r>
      <w:r>
        <w:rPr>
          <w:spacing w:val="-5"/>
        </w:rPr>
        <w:t> </w:t>
      </w:r>
      <w:r>
        <w:rPr/>
        <w:t>from</w:t>
      </w:r>
      <w:r>
        <w:rPr>
          <w:spacing w:val="-6"/>
        </w:rPr>
        <w:t> </w:t>
      </w:r>
      <w:r>
        <w:rPr/>
        <w:t>before 2010 (Patel, U. 2024). FPE has proven especially valuable for legacy system integration, with organizations reporting 82% fewer compatibility issues when implementing this technique across system boundaries involving mainframe applications averaging</w:t>
      </w:r>
      <w:r>
        <w:rPr>
          <w:spacing w:val="-2"/>
        </w:rPr>
        <w:t> </w:t>
      </w:r>
      <w:r>
        <w:rPr/>
        <w:t>27 years</w:t>
      </w:r>
      <w:r>
        <w:rPr>
          <w:spacing w:val="-2"/>
        </w:rPr>
        <w:t> </w:t>
      </w:r>
      <w:r>
        <w:rPr/>
        <w:t>of age, resulting</w:t>
      </w:r>
      <w:r>
        <w:rPr>
          <w:spacing w:val="-2"/>
        </w:rPr>
        <w:t> </w:t>
      </w:r>
      <w:r>
        <w:rPr/>
        <w:t>in annual development cost savings of $1.3 million for the average global financial institution while simultaneously strengthening security posture scores by an average of 37 points on standard industry assessments (InCountry, 2023).</w:t>
      </w:r>
    </w:p>
    <w:p>
      <w:pPr>
        <w:pStyle w:val="BodyText"/>
        <w:spacing w:after="0"/>
        <w:sectPr>
          <w:pgSz w:w="11910" w:h="16840"/>
          <w:pgMar w:header="1025" w:footer="1033" w:top="1260" w:bottom="1220" w:left="850" w:right="850"/>
          <w:cols w:num="2" w:equalWidth="0">
            <w:col w:w="4793" w:space="436"/>
            <w:col w:w="4981"/>
          </w:cols>
        </w:sectPr>
      </w:pPr>
    </w:p>
    <w:p>
      <w:pPr>
        <w:pStyle w:val="BodyText"/>
        <w:spacing w:before="139" w:after="6"/>
        <w:ind w:left="528"/>
        <w:jc w:val="left"/>
      </w:pPr>
      <w:r>
        <w:rPr>
          <w:b/>
        </w:rPr>
        <w:t>Table</w:t>
      </w:r>
      <w:r>
        <w:rPr>
          <w:b/>
          <w:spacing w:val="-4"/>
        </w:rPr>
        <w:t> </w:t>
      </w:r>
      <w:r>
        <w:rPr>
          <w:b/>
        </w:rPr>
        <w:t>3</w:t>
      </w:r>
      <w:r>
        <w:rPr/>
        <w:t>:</w:t>
      </w:r>
      <w:r>
        <w:rPr>
          <w:spacing w:val="-4"/>
        </w:rPr>
        <w:t> </w:t>
      </w:r>
      <w:r>
        <w:rPr/>
        <w:t>Data</w:t>
      </w:r>
      <w:r>
        <w:rPr>
          <w:spacing w:val="-4"/>
        </w:rPr>
        <w:t> </w:t>
      </w:r>
      <w:r>
        <w:rPr/>
        <w:t>Protection</w:t>
      </w:r>
      <w:r>
        <w:rPr>
          <w:spacing w:val="-5"/>
        </w:rPr>
        <w:t> </w:t>
      </w:r>
      <w:r>
        <w:rPr/>
        <w:t>Strategy</w:t>
      </w:r>
      <w:r>
        <w:rPr>
          <w:spacing w:val="-7"/>
        </w:rPr>
        <w:t> </w:t>
      </w:r>
      <w:r>
        <w:rPr/>
        <w:t>Effectiveness</w:t>
      </w:r>
      <w:r>
        <w:rPr>
          <w:spacing w:val="-7"/>
        </w:rPr>
        <w:t> </w:t>
      </w:r>
      <w:r>
        <w:rPr/>
        <w:t>in</w:t>
      </w:r>
      <w:r>
        <w:rPr>
          <w:spacing w:val="-4"/>
        </w:rPr>
        <w:t> </w:t>
      </w:r>
      <w:r>
        <w:rPr/>
        <w:t>Financial</w:t>
      </w:r>
      <w:r>
        <w:rPr>
          <w:spacing w:val="-4"/>
        </w:rPr>
        <w:t> </w:t>
      </w:r>
      <w:r>
        <w:rPr/>
        <w:t>Services</w:t>
      </w:r>
      <w:r>
        <w:rPr>
          <w:spacing w:val="1"/>
        </w:rPr>
        <w:t> </w:t>
      </w:r>
      <w:r>
        <w:rPr/>
        <w:t>(Patel,</w:t>
      </w:r>
      <w:r>
        <w:rPr>
          <w:spacing w:val="-5"/>
        </w:rPr>
        <w:t> </w:t>
      </w:r>
      <w:r>
        <w:rPr/>
        <w:t>U.</w:t>
      </w:r>
      <w:r>
        <w:rPr>
          <w:spacing w:val="-4"/>
        </w:rPr>
        <w:t> </w:t>
      </w:r>
      <w:r>
        <w:rPr/>
        <w:t>2024;</w:t>
      </w:r>
      <w:r>
        <w:rPr>
          <w:spacing w:val="-4"/>
        </w:rPr>
        <w:t> </w:t>
      </w:r>
      <w:r>
        <w:rPr/>
        <w:t>InCountry,</w:t>
      </w:r>
      <w:r>
        <w:rPr>
          <w:spacing w:val="-4"/>
        </w:rPr>
        <w:t> </w:t>
      </w:r>
      <w:r>
        <w:rPr>
          <w:spacing w:val="-2"/>
        </w:rPr>
        <w:t>2023)</w:t>
      </w: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9"/>
        <w:gridCol w:w="4481"/>
        <w:gridCol w:w="894"/>
      </w:tblGrid>
      <w:tr>
        <w:trPr>
          <w:trHeight w:val="254" w:hRule="atLeast"/>
        </w:trPr>
        <w:tc>
          <w:tcPr>
            <w:tcW w:w="2849" w:type="dxa"/>
          </w:tcPr>
          <w:p>
            <w:pPr>
              <w:pStyle w:val="TableParagraph"/>
              <w:jc w:val="center"/>
              <w:rPr>
                <w:b/>
                <w:sz w:val="22"/>
              </w:rPr>
            </w:pPr>
            <w:r>
              <w:rPr>
                <w:b/>
                <w:spacing w:val="-2"/>
                <w:sz w:val="22"/>
              </w:rPr>
              <w:t>Strategy</w:t>
            </w:r>
          </w:p>
        </w:tc>
        <w:tc>
          <w:tcPr>
            <w:tcW w:w="4481" w:type="dxa"/>
          </w:tcPr>
          <w:p>
            <w:pPr>
              <w:pStyle w:val="TableParagraph"/>
              <w:ind w:left="12"/>
              <w:jc w:val="center"/>
              <w:rPr>
                <w:b/>
                <w:sz w:val="22"/>
              </w:rPr>
            </w:pPr>
            <w:r>
              <w:rPr>
                <w:b/>
                <w:spacing w:val="-2"/>
                <w:sz w:val="22"/>
              </w:rPr>
              <w:t>Metric</w:t>
            </w:r>
          </w:p>
        </w:tc>
        <w:tc>
          <w:tcPr>
            <w:tcW w:w="894" w:type="dxa"/>
          </w:tcPr>
          <w:p>
            <w:pPr>
              <w:pStyle w:val="TableParagraph"/>
              <w:ind w:left="15"/>
              <w:jc w:val="center"/>
              <w:rPr>
                <w:b/>
                <w:sz w:val="22"/>
              </w:rPr>
            </w:pPr>
            <w:r>
              <w:rPr>
                <w:b/>
                <w:spacing w:val="-2"/>
                <w:sz w:val="22"/>
              </w:rPr>
              <w:t>Value</w:t>
            </w:r>
          </w:p>
        </w:tc>
      </w:tr>
      <w:tr>
        <w:trPr>
          <w:trHeight w:val="251" w:hRule="atLeast"/>
        </w:trPr>
        <w:tc>
          <w:tcPr>
            <w:tcW w:w="2849" w:type="dxa"/>
            <w:vMerge w:val="restart"/>
          </w:tcPr>
          <w:p>
            <w:pPr>
              <w:pStyle w:val="TableParagraph"/>
              <w:spacing w:line="247" w:lineRule="exact"/>
              <w:ind w:left="107"/>
              <w:rPr>
                <w:sz w:val="22"/>
              </w:rPr>
            </w:pPr>
            <w:r>
              <w:rPr>
                <w:spacing w:val="-2"/>
                <w:sz w:val="22"/>
              </w:rPr>
              <w:t>Tokenization</w:t>
            </w:r>
          </w:p>
        </w:tc>
        <w:tc>
          <w:tcPr>
            <w:tcW w:w="4481" w:type="dxa"/>
          </w:tcPr>
          <w:p>
            <w:pPr>
              <w:pStyle w:val="TableParagraph"/>
              <w:spacing w:line="232" w:lineRule="exact"/>
              <w:ind w:left="108"/>
              <w:rPr>
                <w:sz w:val="22"/>
              </w:rPr>
            </w:pPr>
            <w:r>
              <w:rPr>
                <w:sz w:val="22"/>
              </w:rPr>
              <w:t>Breach</w:t>
            </w:r>
            <w:r>
              <w:rPr>
                <w:spacing w:val="-5"/>
                <w:sz w:val="22"/>
              </w:rPr>
              <w:t> </w:t>
            </w:r>
            <w:r>
              <w:rPr>
                <w:sz w:val="22"/>
              </w:rPr>
              <w:t>impact</w:t>
            </w:r>
            <w:r>
              <w:rPr>
                <w:spacing w:val="-4"/>
                <w:sz w:val="22"/>
              </w:rPr>
              <w:t> </w:t>
            </w:r>
            <w:r>
              <w:rPr>
                <w:spacing w:val="-2"/>
                <w:sz w:val="22"/>
              </w:rPr>
              <w:t>reduction</w:t>
            </w:r>
          </w:p>
        </w:tc>
        <w:tc>
          <w:tcPr>
            <w:tcW w:w="894" w:type="dxa"/>
          </w:tcPr>
          <w:p>
            <w:pPr>
              <w:pStyle w:val="TableParagraph"/>
              <w:spacing w:line="232" w:lineRule="exact"/>
              <w:ind w:left="15" w:right="3"/>
              <w:jc w:val="center"/>
              <w:rPr>
                <w:sz w:val="22"/>
              </w:rPr>
            </w:pPr>
            <w:r>
              <w:rPr>
                <w:spacing w:val="-5"/>
                <w:sz w:val="22"/>
              </w:rPr>
              <w:t>62%</w:t>
            </w:r>
          </w:p>
        </w:tc>
      </w:tr>
      <w:tr>
        <w:trPr>
          <w:trHeight w:val="254" w:hRule="atLeast"/>
        </w:trPr>
        <w:tc>
          <w:tcPr>
            <w:tcW w:w="2849" w:type="dxa"/>
            <w:vMerge/>
            <w:tcBorders>
              <w:top w:val="nil"/>
            </w:tcBorders>
          </w:tcPr>
          <w:p>
            <w:pPr>
              <w:rPr>
                <w:sz w:val="2"/>
                <w:szCs w:val="2"/>
              </w:rPr>
            </w:pPr>
          </w:p>
        </w:tc>
        <w:tc>
          <w:tcPr>
            <w:tcW w:w="4481" w:type="dxa"/>
          </w:tcPr>
          <w:p>
            <w:pPr>
              <w:pStyle w:val="TableParagraph"/>
              <w:ind w:left="108"/>
              <w:rPr>
                <w:sz w:val="22"/>
              </w:rPr>
            </w:pPr>
            <w:r>
              <w:rPr>
                <w:sz w:val="22"/>
              </w:rPr>
              <w:t>Average</w:t>
            </w:r>
            <w:r>
              <w:rPr>
                <w:spacing w:val="-3"/>
                <w:sz w:val="22"/>
              </w:rPr>
              <w:t> </w:t>
            </w:r>
            <w:r>
              <w:rPr>
                <w:sz w:val="22"/>
              </w:rPr>
              <w:t>financial</w:t>
            </w:r>
            <w:r>
              <w:rPr>
                <w:spacing w:val="-5"/>
                <w:sz w:val="22"/>
              </w:rPr>
              <w:t> </w:t>
            </w:r>
            <w:r>
              <w:rPr>
                <w:sz w:val="22"/>
              </w:rPr>
              <w:t>loss</w:t>
            </w:r>
            <w:r>
              <w:rPr>
                <w:spacing w:val="-5"/>
                <w:sz w:val="22"/>
              </w:rPr>
              <w:t> </w:t>
            </w:r>
            <w:r>
              <w:rPr>
                <w:sz w:val="22"/>
              </w:rPr>
              <w:t>reduction</w:t>
            </w:r>
            <w:r>
              <w:rPr>
                <w:spacing w:val="-3"/>
                <w:sz w:val="22"/>
              </w:rPr>
              <w:t> </w:t>
            </w:r>
            <w:r>
              <w:rPr>
                <w:sz w:val="22"/>
              </w:rPr>
              <w:t>($</w:t>
            </w:r>
            <w:r>
              <w:rPr>
                <w:spacing w:val="-2"/>
                <w:sz w:val="22"/>
              </w:rPr>
              <w:t> millions)</w:t>
            </w:r>
          </w:p>
        </w:tc>
        <w:tc>
          <w:tcPr>
            <w:tcW w:w="894" w:type="dxa"/>
          </w:tcPr>
          <w:p>
            <w:pPr>
              <w:pStyle w:val="TableParagraph"/>
              <w:ind w:left="15" w:right="2"/>
              <w:jc w:val="center"/>
              <w:rPr>
                <w:sz w:val="22"/>
              </w:rPr>
            </w:pPr>
            <w:r>
              <w:rPr>
                <w:spacing w:val="-4"/>
                <w:sz w:val="22"/>
              </w:rPr>
              <w:t>3.55</w:t>
            </w:r>
          </w:p>
        </w:tc>
      </w:tr>
      <w:tr>
        <w:trPr>
          <w:trHeight w:val="253" w:hRule="atLeast"/>
        </w:trPr>
        <w:tc>
          <w:tcPr>
            <w:tcW w:w="2849" w:type="dxa"/>
            <w:vMerge/>
            <w:tcBorders>
              <w:top w:val="nil"/>
            </w:tcBorders>
          </w:tcPr>
          <w:p>
            <w:pPr>
              <w:rPr>
                <w:sz w:val="2"/>
                <w:szCs w:val="2"/>
              </w:rPr>
            </w:pPr>
          </w:p>
        </w:tc>
        <w:tc>
          <w:tcPr>
            <w:tcW w:w="4481" w:type="dxa"/>
          </w:tcPr>
          <w:p>
            <w:pPr>
              <w:pStyle w:val="TableParagraph"/>
              <w:ind w:left="108"/>
              <w:rPr>
                <w:sz w:val="22"/>
              </w:rPr>
            </w:pPr>
            <w:r>
              <w:rPr>
                <w:sz w:val="22"/>
              </w:rPr>
              <w:t>Implementation</w:t>
            </w:r>
            <w:r>
              <w:rPr>
                <w:spacing w:val="-11"/>
                <w:sz w:val="22"/>
              </w:rPr>
              <w:t> </w:t>
            </w:r>
            <w:r>
              <w:rPr>
                <w:sz w:val="22"/>
              </w:rPr>
              <w:t>growth</w:t>
            </w:r>
            <w:r>
              <w:rPr>
                <w:spacing w:val="-11"/>
                <w:sz w:val="22"/>
              </w:rPr>
              <w:t> </w:t>
            </w:r>
            <w:r>
              <w:rPr>
                <w:sz w:val="22"/>
              </w:rPr>
              <w:t>(2022-</w:t>
            </w:r>
            <w:r>
              <w:rPr>
                <w:spacing w:val="-2"/>
                <w:sz w:val="22"/>
              </w:rPr>
              <w:t>2024)</w:t>
            </w:r>
          </w:p>
        </w:tc>
        <w:tc>
          <w:tcPr>
            <w:tcW w:w="894" w:type="dxa"/>
          </w:tcPr>
          <w:p>
            <w:pPr>
              <w:pStyle w:val="TableParagraph"/>
              <w:ind w:left="15" w:right="3"/>
              <w:jc w:val="center"/>
              <w:rPr>
                <w:sz w:val="22"/>
              </w:rPr>
            </w:pPr>
            <w:r>
              <w:rPr>
                <w:spacing w:val="-5"/>
                <w:sz w:val="22"/>
              </w:rPr>
              <w:t>29%</w:t>
            </w:r>
          </w:p>
        </w:tc>
      </w:tr>
      <w:tr>
        <w:trPr>
          <w:trHeight w:val="251" w:hRule="atLeast"/>
        </w:trPr>
        <w:tc>
          <w:tcPr>
            <w:tcW w:w="2849" w:type="dxa"/>
            <w:vMerge/>
            <w:tcBorders>
              <w:top w:val="nil"/>
            </w:tcBorders>
          </w:tcPr>
          <w:p>
            <w:pPr>
              <w:rPr>
                <w:sz w:val="2"/>
                <w:szCs w:val="2"/>
              </w:rPr>
            </w:pPr>
          </w:p>
        </w:tc>
        <w:tc>
          <w:tcPr>
            <w:tcW w:w="4481" w:type="dxa"/>
          </w:tcPr>
          <w:p>
            <w:pPr>
              <w:pStyle w:val="TableParagraph"/>
              <w:spacing w:line="232" w:lineRule="exact"/>
              <w:ind w:left="108"/>
              <w:rPr>
                <w:sz w:val="22"/>
              </w:rPr>
            </w:pPr>
            <w:r>
              <w:rPr>
                <w:sz w:val="22"/>
              </w:rPr>
              <w:t>PCI</w:t>
            </w:r>
            <w:r>
              <w:rPr>
                <w:spacing w:val="-6"/>
                <w:sz w:val="22"/>
              </w:rPr>
              <w:t> </w:t>
            </w:r>
            <w:r>
              <w:rPr>
                <w:sz w:val="22"/>
              </w:rPr>
              <w:t>DSS</w:t>
            </w:r>
            <w:r>
              <w:rPr>
                <w:spacing w:val="-3"/>
                <w:sz w:val="22"/>
              </w:rPr>
              <w:t> </w:t>
            </w:r>
            <w:r>
              <w:rPr>
                <w:sz w:val="22"/>
              </w:rPr>
              <w:t>compliance</w:t>
            </w:r>
            <w:r>
              <w:rPr>
                <w:spacing w:val="-2"/>
                <w:sz w:val="22"/>
              </w:rPr>
              <w:t> </w:t>
            </w:r>
            <w:r>
              <w:rPr>
                <w:sz w:val="22"/>
              </w:rPr>
              <w:t>scope</w:t>
            </w:r>
            <w:r>
              <w:rPr>
                <w:spacing w:val="-4"/>
                <w:sz w:val="22"/>
              </w:rPr>
              <w:t> </w:t>
            </w:r>
            <w:r>
              <w:rPr>
                <w:spacing w:val="-2"/>
                <w:sz w:val="22"/>
              </w:rPr>
              <w:t>reduction</w:t>
            </w:r>
          </w:p>
        </w:tc>
        <w:tc>
          <w:tcPr>
            <w:tcW w:w="894" w:type="dxa"/>
          </w:tcPr>
          <w:p>
            <w:pPr>
              <w:pStyle w:val="TableParagraph"/>
              <w:spacing w:line="232" w:lineRule="exact"/>
              <w:ind w:left="15" w:right="3"/>
              <w:jc w:val="center"/>
              <w:rPr>
                <w:sz w:val="22"/>
              </w:rPr>
            </w:pPr>
            <w:r>
              <w:rPr>
                <w:spacing w:val="-5"/>
                <w:sz w:val="22"/>
              </w:rPr>
              <w:t>73%</w:t>
            </w:r>
          </w:p>
        </w:tc>
      </w:tr>
      <w:tr>
        <w:trPr>
          <w:trHeight w:val="254" w:hRule="atLeast"/>
        </w:trPr>
        <w:tc>
          <w:tcPr>
            <w:tcW w:w="2849" w:type="dxa"/>
            <w:vMerge/>
            <w:tcBorders>
              <w:top w:val="nil"/>
            </w:tcBorders>
          </w:tcPr>
          <w:p>
            <w:pPr>
              <w:rPr>
                <w:sz w:val="2"/>
                <w:szCs w:val="2"/>
              </w:rPr>
            </w:pPr>
          </w:p>
        </w:tc>
        <w:tc>
          <w:tcPr>
            <w:tcW w:w="4481" w:type="dxa"/>
          </w:tcPr>
          <w:p>
            <w:pPr>
              <w:pStyle w:val="TableParagraph"/>
              <w:ind w:left="108"/>
              <w:rPr>
                <w:sz w:val="22"/>
              </w:rPr>
            </w:pPr>
            <w:r>
              <w:rPr>
                <w:sz w:val="22"/>
              </w:rPr>
              <w:t>Annual</w:t>
            </w:r>
            <w:r>
              <w:rPr>
                <w:spacing w:val="-5"/>
                <w:sz w:val="22"/>
              </w:rPr>
              <w:t> </w:t>
            </w:r>
            <w:r>
              <w:rPr>
                <w:sz w:val="22"/>
              </w:rPr>
              <w:t>audit</w:t>
            </w:r>
            <w:r>
              <w:rPr>
                <w:spacing w:val="-2"/>
                <w:sz w:val="22"/>
              </w:rPr>
              <w:t> </w:t>
            </w:r>
            <w:r>
              <w:rPr>
                <w:sz w:val="22"/>
              </w:rPr>
              <w:t>cost</w:t>
            </w:r>
            <w:r>
              <w:rPr>
                <w:spacing w:val="-4"/>
                <w:sz w:val="22"/>
              </w:rPr>
              <w:t> </w:t>
            </w:r>
            <w:r>
              <w:rPr>
                <w:sz w:val="22"/>
              </w:rPr>
              <w:t>savings</w:t>
            </w:r>
            <w:r>
              <w:rPr>
                <w:spacing w:val="-3"/>
                <w:sz w:val="22"/>
              </w:rPr>
              <w:t> </w:t>
            </w:r>
            <w:r>
              <w:rPr>
                <w:sz w:val="22"/>
              </w:rPr>
              <w:t>($ </w:t>
            </w:r>
            <w:r>
              <w:rPr>
                <w:spacing w:val="-2"/>
                <w:sz w:val="22"/>
              </w:rPr>
              <w:t>thousands)</w:t>
            </w:r>
          </w:p>
        </w:tc>
        <w:tc>
          <w:tcPr>
            <w:tcW w:w="894" w:type="dxa"/>
          </w:tcPr>
          <w:p>
            <w:pPr>
              <w:pStyle w:val="TableParagraph"/>
              <w:ind w:left="15" w:right="5"/>
              <w:jc w:val="center"/>
              <w:rPr>
                <w:sz w:val="22"/>
              </w:rPr>
            </w:pPr>
            <w:r>
              <w:rPr>
                <w:spacing w:val="-5"/>
                <w:sz w:val="22"/>
              </w:rPr>
              <w:t>432</w:t>
            </w:r>
          </w:p>
        </w:tc>
      </w:tr>
      <w:tr>
        <w:trPr>
          <w:trHeight w:val="251" w:hRule="atLeast"/>
        </w:trPr>
        <w:tc>
          <w:tcPr>
            <w:tcW w:w="2849" w:type="dxa"/>
            <w:vMerge w:val="restart"/>
          </w:tcPr>
          <w:p>
            <w:pPr>
              <w:pStyle w:val="TableParagraph"/>
              <w:spacing w:line="247" w:lineRule="exact"/>
              <w:ind w:left="107"/>
              <w:rPr>
                <w:sz w:val="22"/>
              </w:rPr>
            </w:pPr>
            <w:r>
              <w:rPr>
                <w:sz w:val="22"/>
              </w:rPr>
              <w:t>Field-level</w:t>
            </w:r>
            <w:r>
              <w:rPr>
                <w:spacing w:val="-4"/>
                <w:sz w:val="22"/>
              </w:rPr>
              <w:t> </w:t>
            </w:r>
            <w:r>
              <w:rPr>
                <w:sz w:val="22"/>
              </w:rPr>
              <w:t>PII</w:t>
            </w:r>
            <w:r>
              <w:rPr>
                <w:spacing w:val="-6"/>
                <w:sz w:val="22"/>
              </w:rPr>
              <w:t> </w:t>
            </w:r>
            <w:r>
              <w:rPr>
                <w:spacing w:val="-2"/>
                <w:sz w:val="22"/>
              </w:rPr>
              <w:t>masking</w:t>
            </w:r>
          </w:p>
        </w:tc>
        <w:tc>
          <w:tcPr>
            <w:tcW w:w="4481" w:type="dxa"/>
          </w:tcPr>
          <w:p>
            <w:pPr>
              <w:pStyle w:val="TableParagraph"/>
              <w:spacing w:line="232" w:lineRule="exact"/>
              <w:ind w:left="108"/>
              <w:rPr>
                <w:sz w:val="22"/>
              </w:rPr>
            </w:pPr>
            <w:r>
              <w:rPr>
                <w:sz w:val="22"/>
              </w:rPr>
              <w:t>Organizations</w:t>
            </w:r>
            <w:r>
              <w:rPr>
                <w:spacing w:val="-8"/>
                <w:sz w:val="22"/>
              </w:rPr>
              <w:t> </w:t>
            </w:r>
            <w:r>
              <w:rPr>
                <w:spacing w:val="-2"/>
                <w:sz w:val="22"/>
              </w:rPr>
              <w:t>implementing</w:t>
            </w:r>
          </w:p>
        </w:tc>
        <w:tc>
          <w:tcPr>
            <w:tcW w:w="894" w:type="dxa"/>
          </w:tcPr>
          <w:p>
            <w:pPr>
              <w:pStyle w:val="TableParagraph"/>
              <w:spacing w:line="232" w:lineRule="exact"/>
              <w:ind w:left="15" w:right="3"/>
              <w:jc w:val="center"/>
              <w:rPr>
                <w:sz w:val="22"/>
              </w:rPr>
            </w:pPr>
            <w:r>
              <w:rPr>
                <w:spacing w:val="-5"/>
                <w:sz w:val="22"/>
              </w:rPr>
              <w:t>83%</w:t>
            </w:r>
          </w:p>
        </w:tc>
      </w:tr>
      <w:tr>
        <w:trPr>
          <w:trHeight w:val="254" w:hRule="atLeast"/>
        </w:trPr>
        <w:tc>
          <w:tcPr>
            <w:tcW w:w="2849" w:type="dxa"/>
            <w:vMerge/>
            <w:tcBorders>
              <w:top w:val="nil"/>
            </w:tcBorders>
          </w:tcPr>
          <w:p>
            <w:pPr>
              <w:rPr>
                <w:sz w:val="2"/>
                <w:szCs w:val="2"/>
              </w:rPr>
            </w:pPr>
          </w:p>
        </w:tc>
        <w:tc>
          <w:tcPr>
            <w:tcW w:w="4481" w:type="dxa"/>
          </w:tcPr>
          <w:p>
            <w:pPr>
              <w:pStyle w:val="TableParagraph"/>
              <w:ind w:left="108"/>
              <w:rPr>
                <w:sz w:val="22"/>
              </w:rPr>
            </w:pPr>
            <w:r>
              <w:rPr>
                <w:sz w:val="22"/>
              </w:rPr>
              <w:t>Sensitive</w:t>
            </w:r>
            <w:r>
              <w:rPr>
                <w:spacing w:val="-3"/>
                <w:sz w:val="22"/>
              </w:rPr>
              <w:t> </w:t>
            </w:r>
            <w:r>
              <w:rPr>
                <w:sz w:val="22"/>
              </w:rPr>
              <w:t>data</w:t>
            </w:r>
            <w:r>
              <w:rPr>
                <w:spacing w:val="-5"/>
                <w:sz w:val="22"/>
              </w:rPr>
              <w:t> </w:t>
            </w:r>
            <w:r>
              <w:rPr>
                <w:sz w:val="22"/>
              </w:rPr>
              <w:t>exposure</w:t>
            </w:r>
            <w:r>
              <w:rPr>
                <w:spacing w:val="-4"/>
                <w:sz w:val="22"/>
              </w:rPr>
              <w:t> </w:t>
            </w:r>
            <w:r>
              <w:rPr>
                <w:spacing w:val="-2"/>
                <w:sz w:val="22"/>
              </w:rPr>
              <w:t>reduction</w:t>
            </w:r>
          </w:p>
        </w:tc>
        <w:tc>
          <w:tcPr>
            <w:tcW w:w="894" w:type="dxa"/>
          </w:tcPr>
          <w:p>
            <w:pPr>
              <w:pStyle w:val="TableParagraph"/>
              <w:ind w:left="15" w:right="1"/>
              <w:jc w:val="center"/>
              <w:rPr>
                <w:sz w:val="22"/>
              </w:rPr>
            </w:pPr>
            <w:r>
              <w:rPr>
                <w:spacing w:val="-2"/>
                <w:sz w:val="22"/>
              </w:rPr>
              <w:t>93.70%</w:t>
            </w:r>
          </w:p>
        </w:tc>
      </w:tr>
      <w:tr>
        <w:trPr>
          <w:trHeight w:val="251" w:hRule="atLeast"/>
        </w:trPr>
        <w:tc>
          <w:tcPr>
            <w:tcW w:w="2849" w:type="dxa"/>
            <w:vMerge w:val="restart"/>
          </w:tcPr>
          <w:p>
            <w:pPr>
              <w:pStyle w:val="TableParagraph"/>
              <w:spacing w:line="247" w:lineRule="exact"/>
              <w:ind w:left="107"/>
              <w:rPr>
                <w:sz w:val="22"/>
              </w:rPr>
            </w:pPr>
            <w:r>
              <w:rPr>
                <w:spacing w:val="-4"/>
                <w:sz w:val="22"/>
              </w:rPr>
              <w:t>ABAC</w:t>
            </w:r>
          </w:p>
        </w:tc>
        <w:tc>
          <w:tcPr>
            <w:tcW w:w="4481" w:type="dxa"/>
          </w:tcPr>
          <w:p>
            <w:pPr>
              <w:pStyle w:val="TableParagraph"/>
              <w:spacing w:line="232" w:lineRule="exact"/>
              <w:ind w:left="108"/>
              <w:rPr>
                <w:sz w:val="22"/>
              </w:rPr>
            </w:pPr>
            <w:r>
              <w:rPr>
                <w:sz w:val="22"/>
              </w:rPr>
              <w:t>Organizations</w:t>
            </w:r>
            <w:r>
              <w:rPr>
                <w:spacing w:val="-8"/>
                <w:sz w:val="22"/>
              </w:rPr>
              <w:t> </w:t>
            </w:r>
            <w:r>
              <w:rPr>
                <w:spacing w:val="-2"/>
                <w:sz w:val="22"/>
              </w:rPr>
              <w:t>adopting</w:t>
            </w:r>
          </w:p>
        </w:tc>
        <w:tc>
          <w:tcPr>
            <w:tcW w:w="894" w:type="dxa"/>
          </w:tcPr>
          <w:p>
            <w:pPr>
              <w:pStyle w:val="TableParagraph"/>
              <w:spacing w:line="232" w:lineRule="exact"/>
              <w:ind w:left="15" w:right="3"/>
              <w:jc w:val="center"/>
              <w:rPr>
                <w:sz w:val="22"/>
              </w:rPr>
            </w:pPr>
            <w:r>
              <w:rPr>
                <w:spacing w:val="-5"/>
                <w:sz w:val="22"/>
              </w:rPr>
              <w:t>67%</w:t>
            </w:r>
          </w:p>
        </w:tc>
      </w:tr>
      <w:tr>
        <w:trPr>
          <w:trHeight w:val="253" w:hRule="atLeast"/>
        </w:trPr>
        <w:tc>
          <w:tcPr>
            <w:tcW w:w="2849" w:type="dxa"/>
            <w:vMerge/>
            <w:tcBorders>
              <w:top w:val="nil"/>
            </w:tcBorders>
          </w:tcPr>
          <w:p>
            <w:pPr>
              <w:rPr>
                <w:sz w:val="2"/>
                <w:szCs w:val="2"/>
              </w:rPr>
            </w:pPr>
          </w:p>
        </w:tc>
        <w:tc>
          <w:tcPr>
            <w:tcW w:w="4481" w:type="dxa"/>
          </w:tcPr>
          <w:p>
            <w:pPr>
              <w:pStyle w:val="TableParagraph"/>
              <w:ind w:left="108"/>
              <w:rPr>
                <w:sz w:val="22"/>
              </w:rPr>
            </w:pPr>
            <w:r>
              <w:rPr>
                <w:sz w:val="22"/>
              </w:rPr>
              <w:t>Unauthorized</w:t>
            </w:r>
            <w:r>
              <w:rPr>
                <w:spacing w:val="-5"/>
                <w:sz w:val="22"/>
              </w:rPr>
              <w:t> </w:t>
            </w:r>
            <w:r>
              <w:rPr>
                <w:sz w:val="22"/>
              </w:rPr>
              <w:t>access</w:t>
            </w:r>
            <w:r>
              <w:rPr>
                <w:spacing w:val="-3"/>
                <w:sz w:val="22"/>
              </w:rPr>
              <w:t> </w:t>
            </w:r>
            <w:r>
              <w:rPr>
                <w:sz w:val="22"/>
              </w:rPr>
              <w:t>events</w:t>
            </w:r>
            <w:r>
              <w:rPr>
                <w:spacing w:val="-6"/>
                <w:sz w:val="22"/>
              </w:rPr>
              <w:t> </w:t>
            </w:r>
            <w:r>
              <w:rPr>
                <w:sz w:val="22"/>
              </w:rPr>
              <w:t>reduced</w:t>
            </w:r>
            <w:r>
              <w:rPr>
                <w:spacing w:val="-6"/>
                <w:sz w:val="22"/>
              </w:rPr>
              <w:t> </w:t>
            </w:r>
            <w:r>
              <w:rPr>
                <w:spacing w:val="-2"/>
                <w:sz w:val="22"/>
              </w:rPr>
              <w:t>(thousands)</w:t>
            </w:r>
          </w:p>
        </w:tc>
        <w:tc>
          <w:tcPr>
            <w:tcW w:w="894" w:type="dxa"/>
          </w:tcPr>
          <w:p>
            <w:pPr>
              <w:pStyle w:val="TableParagraph"/>
              <w:ind w:left="15" w:right="5"/>
              <w:jc w:val="center"/>
              <w:rPr>
                <w:sz w:val="22"/>
              </w:rPr>
            </w:pPr>
            <w:r>
              <w:rPr>
                <w:spacing w:val="-5"/>
                <w:sz w:val="22"/>
              </w:rPr>
              <w:t>142</w:t>
            </w:r>
          </w:p>
        </w:tc>
      </w:tr>
      <w:tr>
        <w:trPr>
          <w:trHeight w:val="254" w:hRule="atLeast"/>
        </w:trPr>
        <w:tc>
          <w:tcPr>
            <w:tcW w:w="2849" w:type="dxa"/>
            <w:vMerge w:val="restart"/>
          </w:tcPr>
          <w:p>
            <w:pPr>
              <w:pStyle w:val="TableParagraph"/>
              <w:spacing w:line="247" w:lineRule="exact"/>
              <w:ind w:left="107"/>
              <w:rPr>
                <w:sz w:val="22"/>
              </w:rPr>
            </w:pPr>
            <w:r>
              <w:rPr>
                <w:sz w:val="22"/>
              </w:rPr>
              <w:t>Homomorphic</w:t>
            </w:r>
            <w:r>
              <w:rPr>
                <w:spacing w:val="-8"/>
                <w:sz w:val="22"/>
              </w:rPr>
              <w:t> </w:t>
            </w:r>
            <w:r>
              <w:rPr>
                <w:spacing w:val="-2"/>
                <w:sz w:val="22"/>
              </w:rPr>
              <w:t>encryption</w:t>
            </w:r>
          </w:p>
        </w:tc>
        <w:tc>
          <w:tcPr>
            <w:tcW w:w="4481" w:type="dxa"/>
          </w:tcPr>
          <w:p>
            <w:pPr>
              <w:pStyle w:val="TableParagraph"/>
              <w:ind w:left="108"/>
              <w:rPr>
                <w:sz w:val="22"/>
              </w:rPr>
            </w:pPr>
            <w:r>
              <w:rPr>
                <w:sz w:val="22"/>
              </w:rPr>
              <w:t>Current</w:t>
            </w:r>
            <w:r>
              <w:rPr>
                <w:spacing w:val="-5"/>
                <w:sz w:val="22"/>
              </w:rPr>
              <w:t> </w:t>
            </w:r>
            <w:r>
              <w:rPr>
                <w:sz w:val="22"/>
              </w:rPr>
              <w:t>adoption</w:t>
            </w:r>
            <w:r>
              <w:rPr>
                <w:spacing w:val="-6"/>
                <w:sz w:val="22"/>
              </w:rPr>
              <w:t> </w:t>
            </w:r>
            <w:r>
              <w:rPr>
                <w:spacing w:val="-4"/>
                <w:sz w:val="22"/>
              </w:rPr>
              <w:t>rate</w:t>
            </w:r>
          </w:p>
        </w:tc>
        <w:tc>
          <w:tcPr>
            <w:tcW w:w="894" w:type="dxa"/>
          </w:tcPr>
          <w:p>
            <w:pPr>
              <w:pStyle w:val="TableParagraph"/>
              <w:ind w:left="15" w:right="3"/>
              <w:jc w:val="center"/>
              <w:rPr>
                <w:sz w:val="22"/>
              </w:rPr>
            </w:pPr>
            <w:r>
              <w:rPr>
                <w:spacing w:val="-5"/>
                <w:sz w:val="22"/>
              </w:rPr>
              <w:t>17%</w:t>
            </w:r>
          </w:p>
        </w:tc>
      </w:tr>
      <w:tr>
        <w:trPr>
          <w:trHeight w:val="251" w:hRule="atLeast"/>
        </w:trPr>
        <w:tc>
          <w:tcPr>
            <w:tcW w:w="2849" w:type="dxa"/>
            <w:vMerge/>
            <w:tcBorders>
              <w:top w:val="nil"/>
            </w:tcBorders>
          </w:tcPr>
          <w:p>
            <w:pPr>
              <w:rPr>
                <w:sz w:val="2"/>
                <w:szCs w:val="2"/>
              </w:rPr>
            </w:pPr>
          </w:p>
        </w:tc>
        <w:tc>
          <w:tcPr>
            <w:tcW w:w="4481" w:type="dxa"/>
          </w:tcPr>
          <w:p>
            <w:pPr>
              <w:pStyle w:val="TableParagraph"/>
              <w:spacing w:line="232" w:lineRule="exact"/>
              <w:ind w:left="108"/>
              <w:rPr>
                <w:sz w:val="22"/>
              </w:rPr>
            </w:pPr>
            <w:r>
              <w:rPr>
                <w:sz w:val="22"/>
              </w:rPr>
              <w:t>Data</w:t>
            </w:r>
            <w:r>
              <w:rPr>
                <w:spacing w:val="-2"/>
                <w:sz w:val="22"/>
              </w:rPr>
              <w:t> </w:t>
            </w:r>
            <w:r>
              <w:rPr>
                <w:sz w:val="22"/>
              </w:rPr>
              <w:t>exposure</w:t>
            </w:r>
            <w:r>
              <w:rPr>
                <w:spacing w:val="-4"/>
                <w:sz w:val="22"/>
              </w:rPr>
              <w:t> </w:t>
            </w:r>
            <w:r>
              <w:rPr>
                <w:sz w:val="22"/>
              </w:rPr>
              <w:t>reduction</w:t>
            </w:r>
            <w:r>
              <w:rPr>
                <w:spacing w:val="-5"/>
                <w:sz w:val="22"/>
              </w:rPr>
              <w:t> </w:t>
            </w:r>
            <w:r>
              <w:rPr>
                <w:sz w:val="22"/>
              </w:rPr>
              <w:t>in</w:t>
            </w:r>
            <w:r>
              <w:rPr>
                <w:spacing w:val="-5"/>
                <w:sz w:val="22"/>
              </w:rPr>
              <w:t> </w:t>
            </w:r>
            <w:r>
              <w:rPr>
                <w:spacing w:val="-2"/>
                <w:sz w:val="22"/>
              </w:rPr>
              <w:t>analytics</w:t>
            </w:r>
          </w:p>
        </w:tc>
        <w:tc>
          <w:tcPr>
            <w:tcW w:w="894" w:type="dxa"/>
          </w:tcPr>
          <w:p>
            <w:pPr>
              <w:pStyle w:val="TableParagraph"/>
              <w:spacing w:line="232" w:lineRule="exact"/>
              <w:ind w:left="15" w:right="1"/>
              <w:jc w:val="center"/>
              <w:rPr>
                <w:sz w:val="22"/>
              </w:rPr>
            </w:pPr>
            <w:r>
              <w:rPr>
                <w:spacing w:val="-2"/>
                <w:sz w:val="22"/>
              </w:rPr>
              <w:t>94.20%</w:t>
            </w:r>
          </w:p>
        </w:tc>
      </w:tr>
      <w:tr>
        <w:trPr>
          <w:trHeight w:val="253" w:hRule="atLeast"/>
        </w:trPr>
        <w:tc>
          <w:tcPr>
            <w:tcW w:w="2849" w:type="dxa"/>
          </w:tcPr>
          <w:p>
            <w:pPr>
              <w:pStyle w:val="TableParagraph"/>
              <w:ind w:right="1"/>
              <w:jc w:val="center"/>
              <w:rPr>
                <w:sz w:val="22"/>
              </w:rPr>
            </w:pPr>
            <w:r>
              <w:rPr>
                <w:sz w:val="22"/>
              </w:rPr>
              <w:t>Format-preserving</w:t>
            </w:r>
            <w:r>
              <w:rPr>
                <w:spacing w:val="-14"/>
                <w:sz w:val="22"/>
              </w:rPr>
              <w:t> </w:t>
            </w:r>
            <w:r>
              <w:rPr>
                <w:spacing w:val="-2"/>
                <w:sz w:val="22"/>
              </w:rPr>
              <w:t>encryption</w:t>
            </w:r>
          </w:p>
        </w:tc>
        <w:tc>
          <w:tcPr>
            <w:tcW w:w="4481" w:type="dxa"/>
          </w:tcPr>
          <w:p>
            <w:pPr>
              <w:pStyle w:val="TableParagraph"/>
              <w:ind w:left="108"/>
              <w:rPr>
                <w:sz w:val="22"/>
              </w:rPr>
            </w:pPr>
            <w:r>
              <w:rPr>
                <w:sz w:val="22"/>
              </w:rPr>
              <w:t>Current</w:t>
            </w:r>
            <w:r>
              <w:rPr>
                <w:spacing w:val="-5"/>
                <w:sz w:val="22"/>
              </w:rPr>
              <w:t> </w:t>
            </w:r>
            <w:r>
              <w:rPr>
                <w:sz w:val="22"/>
              </w:rPr>
              <w:t>adoption</w:t>
            </w:r>
            <w:r>
              <w:rPr>
                <w:spacing w:val="-6"/>
                <w:sz w:val="22"/>
              </w:rPr>
              <w:t> </w:t>
            </w:r>
            <w:r>
              <w:rPr>
                <w:spacing w:val="-4"/>
                <w:sz w:val="22"/>
              </w:rPr>
              <w:t>rate</w:t>
            </w:r>
          </w:p>
        </w:tc>
        <w:tc>
          <w:tcPr>
            <w:tcW w:w="894" w:type="dxa"/>
          </w:tcPr>
          <w:p>
            <w:pPr>
              <w:pStyle w:val="TableParagraph"/>
              <w:ind w:left="15" w:right="3"/>
              <w:jc w:val="center"/>
              <w:rPr>
                <w:sz w:val="22"/>
              </w:rPr>
            </w:pPr>
            <w:r>
              <w:rPr>
                <w:spacing w:val="-5"/>
                <w:sz w:val="22"/>
              </w:rPr>
              <w:t>59%</w:t>
            </w:r>
          </w:p>
        </w:tc>
      </w:tr>
    </w:tbl>
    <w:p>
      <w:pPr>
        <w:pStyle w:val="TableParagraph"/>
        <w:spacing w:after="0"/>
        <w:jc w:val="center"/>
        <w:rPr>
          <w:sz w:val="22"/>
        </w:rPr>
        <w:sectPr>
          <w:type w:val="continuous"/>
          <w:pgSz w:w="11910" w:h="16840"/>
          <w:pgMar w:header="1025" w:footer="1033" w:top="440" w:bottom="1220" w:left="850" w:right="850"/>
        </w:sectPr>
      </w:pPr>
    </w:p>
    <w:p>
      <w:pPr>
        <w:pStyle w:val="BodyText"/>
        <w:spacing w:before="5"/>
        <w:ind w:left="0"/>
        <w:jc w:val="left"/>
        <w:rPr>
          <w:sz w:val="10"/>
        </w:rPr>
      </w:pPr>
    </w:p>
    <w:p>
      <w:pPr>
        <w:pStyle w:val="BodyText"/>
        <w:spacing w:line="20" w:lineRule="exact"/>
        <w:ind w:left="201"/>
        <w:jc w:val="left"/>
        <w:rPr>
          <w:sz w:val="2"/>
        </w:rPr>
      </w:pPr>
      <w:r>
        <w:rPr>
          <w:sz w:val="2"/>
        </w:rPr>
        <mc:AlternateContent>
          <mc:Choice Requires="wps">
            <w:drawing>
              <wp:inline distT="0" distB="0" distL="0" distR="0">
                <wp:extent cx="6227445" cy="12700"/>
                <wp:effectExtent l="0" t="0" r="0" b="0"/>
                <wp:docPr id="18" name="Group 18"/>
                <wp:cNvGraphicFramePr>
                  <a:graphicFrameLocks/>
                </wp:cNvGraphicFramePr>
                <a:graphic>
                  <a:graphicData uri="http://schemas.microsoft.com/office/word/2010/wordprocessingGroup">
                    <wpg:wgp>
                      <wpg:cNvPr id="18" name="Group 18"/>
                      <wpg:cNvGrpSpPr/>
                      <wpg:grpSpPr>
                        <a:xfrm>
                          <a:off x="0" y="0"/>
                          <a:ext cx="6227445" cy="12700"/>
                          <a:chExt cx="6227445" cy="12700"/>
                        </a:xfrm>
                      </wpg:grpSpPr>
                      <wps:wsp>
                        <wps:cNvPr id="19" name="Graphic 19"/>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wpg:wgp>
                  </a:graphicData>
                </a:graphic>
              </wp:inline>
            </w:drawing>
          </mc:Choice>
          <mc:Fallback>
            <w:pict>
              <v:group style="width:490.35pt;height:1pt;mso-position-horizontal-relative:char;mso-position-vertical-relative:line" id="docshapegroup16" coordorigin="0,0" coordsize="9807,20">
                <v:rect style="position:absolute;left:0;top:0;width:9807;height:20" id="docshape17" filled="true" fillcolor="#17365d" stroked="false">
                  <v:fill type="solid"/>
                </v:rect>
              </v:group>
            </w:pict>
          </mc:Fallback>
        </mc:AlternateContent>
      </w:r>
      <w:r>
        <w:rPr>
          <w:sz w:val="2"/>
        </w:rPr>
      </w:r>
    </w:p>
    <w:p>
      <w:pPr>
        <w:pStyle w:val="BodyText"/>
        <w:spacing w:before="7"/>
        <w:ind w:left="0"/>
        <w:jc w:val="left"/>
        <w:rPr>
          <w:sz w:val="2"/>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9"/>
        <w:gridCol w:w="4481"/>
        <w:gridCol w:w="894"/>
      </w:tblGrid>
      <w:tr>
        <w:trPr>
          <w:trHeight w:val="254" w:hRule="atLeast"/>
        </w:trPr>
        <w:tc>
          <w:tcPr>
            <w:tcW w:w="2849" w:type="dxa"/>
            <w:vMerge w:val="restart"/>
          </w:tcPr>
          <w:p>
            <w:pPr>
              <w:pStyle w:val="TableParagraph"/>
              <w:spacing w:line="240" w:lineRule="auto"/>
              <w:ind w:left="0"/>
              <w:rPr>
                <w:sz w:val="20"/>
              </w:rPr>
            </w:pPr>
          </w:p>
        </w:tc>
        <w:tc>
          <w:tcPr>
            <w:tcW w:w="4481" w:type="dxa"/>
          </w:tcPr>
          <w:p>
            <w:pPr>
              <w:pStyle w:val="TableParagraph"/>
              <w:ind w:left="108"/>
              <w:rPr>
                <w:sz w:val="22"/>
              </w:rPr>
            </w:pPr>
            <w:r>
              <w:rPr>
                <w:sz w:val="22"/>
              </w:rPr>
              <w:t>Integration</w:t>
            </w:r>
            <w:r>
              <w:rPr>
                <w:spacing w:val="-6"/>
                <w:sz w:val="22"/>
              </w:rPr>
              <w:t> </w:t>
            </w:r>
            <w:r>
              <w:rPr>
                <w:sz w:val="22"/>
              </w:rPr>
              <w:t>project</w:t>
            </w:r>
            <w:r>
              <w:rPr>
                <w:spacing w:val="-6"/>
                <w:sz w:val="22"/>
              </w:rPr>
              <w:t> </w:t>
            </w:r>
            <w:r>
              <w:rPr>
                <w:sz w:val="22"/>
              </w:rPr>
              <w:t>timeline</w:t>
            </w:r>
            <w:r>
              <w:rPr>
                <w:spacing w:val="-7"/>
                <w:sz w:val="22"/>
              </w:rPr>
              <w:t> </w:t>
            </w:r>
            <w:r>
              <w:rPr>
                <w:sz w:val="22"/>
              </w:rPr>
              <w:t>reduction</w:t>
            </w:r>
            <w:r>
              <w:rPr>
                <w:spacing w:val="-5"/>
                <w:sz w:val="22"/>
              </w:rPr>
              <w:t> </w:t>
            </w:r>
            <w:r>
              <w:rPr>
                <w:spacing w:val="-2"/>
                <w:sz w:val="22"/>
              </w:rPr>
              <w:t>(days)</w:t>
            </w:r>
          </w:p>
        </w:tc>
        <w:tc>
          <w:tcPr>
            <w:tcW w:w="894" w:type="dxa"/>
          </w:tcPr>
          <w:p>
            <w:pPr>
              <w:pStyle w:val="TableParagraph"/>
              <w:ind w:left="15" w:right="5"/>
              <w:jc w:val="center"/>
              <w:rPr>
                <w:sz w:val="22"/>
              </w:rPr>
            </w:pPr>
            <w:r>
              <w:rPr>
                <w:spacing w:val="-5"/>
                <w:sz w:val="22"/>
              </w:rPr>
              <w:t>47</w:t>
            </w:r>
          </w:p>
        </w:tc>
      </w:tr>
      <w:tr>
        <w:trPr>
          <w:trHeight w:val="251" w:hRule="atLeast"/>
        </w:trPr>
        <w:tc>
          <w:tcPr>
            <w:tcW w:w="2849" w:type="dxa"/>
            <w:vMerge/>
            <w:tcBorders>
              <w:top w:val="nil"/>
            </w:tcBorders>
          </w:tcPr>
          <w:p>
            <w:pPr>
              <w:rPr>
                <w:sz w:val="2"/>
                <w:szCs w:val="2"/>
              </w:rPr>
            </w:pPr>
          </w:p>
        </w:tc>
        <w:tc>
          <w:tcPr>
            <w:tcW w:w="4481" w:type="dxa"/>
          </w:tcPr>
          <w:p>
            <w:pPr>
              <w:pStyle w:val="TableParagraph"/>
              <w:spacing w:line="232" w:lineRule="exact"/>
              <w:ind w:left="108"/>
              <w:rPr>
                <w:sz w:val="22"/>
              </w:rPr>
            </w:pPr>
            <w:r>
              <w:rPr>
                <w:sz w:val="22"/>
              </w:rPr>
              <w:t>Compatibility</w:t>
            </w:r>
            <w:r>
              <w:rPr>
                <w:spacing w:val="-8"/>
                <w:sz w:val="22"/>
              </w:rPr>
              <w:t> </w:t>
            </w:r>
            <w:r>
              <w:rPr>
                <w:sz w:val="22"/>
              </w:rPr>
              <w:t>issues</w:t>
            </w:r>
            <w:r>
              <w:rPr>
                <w:spacing w:val="-5"/>
                <w:sz w:val="22"/>
              </w:rPr>
              <w:t> </w:t>
            </w:r>
            <w:r>
              <w:rPr>
                <w:spacing w:val="-2"/>
                <w:sz w:val="22"/>
              </w:rPr>
              <w:t>reduction</w:t>
            </w:r>
          </w:p>
        </w:tc>
        <w:tc>
          <w:tcPr>
            <w:tcW w:w="894" w:type="dxa"/>
          </w:tcPr>
          <w:p>
            <w:pPr>
              <w:pStyle w:val="TableParagraph"/>
              <w:spacing w:line="232" w:lineRule="exact"/>
              <w:ind w:left="15" w:right="3"/>
              <w:jc w:val="center"/>
              <w:rPr>
                <w:sz w:val="22"/>
              </w:rPr>
            </w:pPr>
            <w:r>
              <w:rPr>
                <w:spacing w:val="-5"/>
                <w:sz w:val="22"/>
              </w:rPr>
              <w:t>82%</w:t>
            </w:r>
          </w:p>
        </w:tc>
      </w:tr>
    </w:tbl>
    <w:p>
      <w:pPr>
        <w:pStyle w:val="BodyText"/>
        <w:spacing w:before="1"/>
        <w:ind w:left="0"/>
        <w:jc w:val="left"/>
        <w:rPr>
          <w:sz w:val="6"/>
        </w:rPr>
      </w:pPr>
    </w:p>
    <w:p>
      <w:pPr>
        <w:pStyle w:val="BodyText"/>
        <w:spacing w:after="0"/>
        <w:jc w:val="left"/>
        <w:rPr>
          <w:sz w:val="6"/>
        </w:rPr>
        <w:sectPr>
          <w:pgSz w:w="11910" w:h="16840"/>
          <w:pgMar w:header="1025" w:footer="1033" w:top="1260" w:bottom="1220" w:left="850" w:right="850"/>
        </w:sectPr>
      </w:pPr>
    </w:p>
    <w:p>
      <w:pPr>
        <w:pStyle w:val="Heading2"/>
        <w:spacing w:line="213" w:lineRule="auto" w:before="71"/>
        <w:ind w:right="45"/>
      </w:pPr>
      <w:r>
        <w:rPr>
          <w:color w:val="4F81BC"/>
        </w:rPr>
        <w:t>SECURE TRANSPORT </w:t>
      </w:r>
      <w:r>
        <w:rPr>
          <w:color w:val="4F81BC"/>
        </w:rPr>
        <w:t>PROTOCOLS AND STANDARDS</w:t>
      </w:r>
    </w:p>
    <w:p>
      <w:pPr>
        <w:pStyle w:val="BodyText"/>
        <w:ind w:right="38"/>
      </w:pPr>
      <w:r>
        <w:rPr/>
        <w:t>The secure movement of financial data</w:t>
      </w:r>
      <w:r>
        <w:rPr>
          <w:spacing w:val="80"/>
        </w:rPr>
        <w:t> </w:t>
      </w:r>
      <w:r>
        <w:rPr/>
        <w:t>necessitates robust transport protocols ensuring confidentiality, integrity, and authenticity across increasingly complex integration landscapes. Analysis of 2,347 financial institutions across 42 countries reveals a significant migration from traditional FTP (used by only 7.3% of organizations, down from</w:t>
      </w:r>
      <w:r>
        <w:rPr>
          <w:spacing w:val="-1"/>
        </w:rPr>
        <w:t> </w:t>
      </w:r>
      <w:r>
        <w:rPr/>
        <w:t>31.8% in 2020) to SFTP (61.8%) and FTPS (24.5%) for batch transfers, with SFTP preferred due to its 43% lower certificate management overhead and native integration with modern identity systems supporting an average of 17.3 discrete integration points per organization (Unnava, N. 2025). This migration has reduced file transfer-related security incidents by 78.2% while improving average transfer</w:t>
      </w:r>
      <w:r>
        <w:rPr>
          <w:spacing w:val="-2"/>
        </w:rPr>
        <w:t> </w:t>
      </w:r>
      <w:r>
        <w:rPr/>
        <w:t>completion</w:t>
      </w:r>
      <w:r>
        <w:rPr>
          <w:spacing w:val="-6"/>
        </w:rPr>
        <w:t> </w:t>
      </w:r>
      <w:r>
        <w:rPr/>
        <w:t>rates</w:t>
      </w:r>
      <w:r>
        <w:rPr>
          <w:spacing w:val="-5"/>
        </w:rPr>
        <w:t> </w:t>
      </w:r>
      <w:r>
        <w:rPr/>
        <w:t>from</w:t>
      </w:r>
      <w:r>
        <w:rPr>
          <w:spacing w:val="-7"/>
        </w:rPr>
        <w:t> </w:t>
      </w:r>
      <w:r>
        <w:rPr/>
        <w:t>94.7%</w:t>
      </w:r>
      <w:r>
        <w:rPr>
          <w:spacing w:val="-3"/>
        </w:rPr>
        <w:t> </w:t>
      </w:r>
      <w:r>
        <w:rPr/>
        <w:t>to</w:t>
      </w:r>
      <w:r>
        <w:rPr>
          <w:spacing w:val="-3"/>
        </w:rPr>
        <w:t> </w:t>
      </w:r>
      <w:r>
        <w:rPr/>
        <w:t>99.3%</w:t>
      </w:r>
      <w:r>
        <w:rPr>
          <w:spacing w:val="-5"/>
        </w:rPr>
        <w:t> </w:t>
      </w:r>
      <w:r>
        <w:rPr/>
        <w:t>and decreasing transfer window durations by 41.3 minutes for critical end-of-day processing involving an average data volume of 7.3 terabytes per institution, with particular improvements observed in cross-border settlement processes where timing dependencies affect liquidity requirements averaging $843 million daily (Modesti, P. </w:t>
      </w:r>
      <w:r>
        <w:rPr>
          <w:i/>
        </w:rPr>
        <w:t>et al., </w:t>
      </w:r>
      <w:r>
        <w:rPr/>
        <w:t>2025).</w:t>
      </w:r>
    </w:p>
    <w:p>
      <w:pPr>
        <w:pStyle w:val="BodyText"/>
        <w:spacing w:before="135"/>
        <w:ind w:right="40"/>
      </w:pPr>
      <w:r>
        <w:rPr/>
        <w:t>For real-time integrations processing</w:t>
      </w:r>
      <w:r>
        <w:rPr>
          <w:spacing w:val="-3"/>
        </w:rPr>
        <w:t> </w:t>
      </w:r>
      <w:r>
        <w:rPr/>
        <w:t>an average of 3,742 transactions per second during peak periods (a 37%</w:t>
      </w:r>
      <w:r>
        <w:rPr>
          <w:spacing w:val="-1"/>
        </w:rPr>
        <w:t> </w:t>
      </w:r>
      <w:r>
        <w:rPr/>
        <w:t>increase</w:t>
      </w:r>
      <w:r>
        <w:rPr>
          <w:spacing w:val="-1"/>
        </w:rPr>
        <w:t> </w:t>
      </w:r>
      <w:r>
        <w:rPr/>
        <w:t>since 2022), HTTPS with</w:t>
      </w:r>
      <w:r>
        <w:rPr>
          <w:spacing w:val="-2"/>
        </w:rPr>
        <w:t> </w:t>
      </w:r>
      <w:r>
        <w:rPr/>
        <w:t>TLS</w:t>
      </w:r>
      <w:r>
        <w:rPr>
          <w:spacing w:val="-3"/>
        </w:rPr>
        <w:t> </w:t>
      </w:r>
      <w:r>
        <w:rPr/>
        <w:t>1.3 represents the minimum security standard implemented by 93.4% of financial institutions, with lagging organizations concentrated in regions with limited regulatory enforcement mechanisms (Unnava, N. 2025). 76.2% of the certificates installed by organizations have proved effective against the man-in-the-middle attacks, which reduces successful interception efforts by 97.4% compared to standard implementation, which increases despite increasing operational </w:t>
      </w:r>
      <w:r>
        <w:rPr>
          <w:spacing w:val="-2"/>
        </w:rPr>
        <w:t>complexity.</w:t>
      </w:r>
    </w:p>
    <w:p>
      <w:pPr>
        <w:pStyle w:val="BodyText"/>
        <w:spacing w:before="138"/>
        <w:ind w:right="39"/>
      </w:pPr>
      <w:r>
        <w:rPr/>
        <w:t>Certificate rotation costs approximately $187,000 annually</w:t>
      </w:r>
      <w:r>
        <w:rPr>
          <w:spacing w:val="-3"/>
        </w:rPr>
        <w:t> </w:t>
      </w:r>
      <w:r>
        <w:rPr/>
        <w:t>for the average global financial enterprise managing 347 distinct certificates across its integration landscape (Modesti, P. </w:t>
      </w:r>
      <w:r>
        <w:rPr>
          <w:i/>
        </w:rPr>
        <w:t>et al., </w:t>
      </w:r>
      <w:r>
        <w:rPr/>
        <w:t>2025). Financial organizations with mature security programs have reduced TLS negotiation failures</w:t>
      </w:r>
      <w:r>
        <w:rPr>
          <w:spacing w:val="40"/>
        </w:rPr>
        <w:t> </w:t>
      </w:r>
      <w:r>
        <w:rPr/>
        <w:t>by</w:t>
      </w:r>
      <w:r>
        <w:rPr>
          <w:spacing w:val="-8"/>
        </w:rPr>
        <w:t> </w:t>
      </w:r>
      <w:r>
        <w:rPr/>
        <w:t>68.9%</w:t>
      </w:r>
      <w:r>
        <w:rPr>
          <w:spacing w:val="-5"/>
        </w:rPr>
        <w:t> </w:t>
      </w:r>
      <w:r>
        <w:rPr/>
        <w:t>through</w:t>
      </w:r>
      <w:r>
        <w:rPr>
          <w:spacing w:val="-5"/>
        </w:rPr>
        <w:t> </w:t>
      </w:r>
      <w:r>
        <w:rPr/>
        <w:t>the</w:t>
      </w:r>
      <w:r>
        <w:rPr>
          <w:spacing w:val="-5"/>
        </w:rPr>
        <w:t> </w:t>
      </w:r>
      <w:r>
        <w:rPr/>
        <w:t>implementation</w:t>
      </w:r>
      <w:r>
        <w:rPr>
          <w:spacing w:val="-5"/>
        </w:rPr>
        <w:t> </w:t>
      </w:r>
      <w:r>
        <w:rPr/>
        <w:t>of</w:t>
      </w:r>
      <w:r>
        <w:rPr>
          <w:spacing w:val="-5"/>
        </w:rPr>
        <w:t> </w:t>
      </w:r>
      <w:r>
        <w:rPr/>
        <w:t>certificate transparency monitoring covering an average of 342 domains per institution, resulting in 99.997% TLS</w:t>
      </w:r>
      <w:r>
        <w:rPr>
          <w:spacing w:val="15"/>
        </w:rPr>
        <w:t> </w:t>
      </w:r>
      <w:r>
        <w:rPr/>
        <w:t>session</w:t>
      </w:r>
      <w:r>
        <w:rPr>
          <w:spacing w:val="17"/>
        </w:rPr>
        <w:t> </w:t>
      </w:r>
      <w:r>
        <w:rPr/>
        <w:t>establishment</w:t>
      </w:r>
      <w:r>
        <w:rPr>
          <w:spacing w:val="18"/>
        </w:rPr>
        <w:t> </w:t>
      </w:r>
      <w:r>
        <w:rPr/>
        <w:t>reliability</w:t>
      </w:r>
      <w:r>
        <w:rPr>
          <w:spacing w:val="15"/>
        </w:rPr>
        <w:t> </w:t>
      </w:r>
      <w:r>
        <w:rPr/>
        <w:t>compared</w:t>
      </w:r>
      <w:r>
        <w:rPr>
          <w:spacing w:val="17"/>
        </w:rPr>
        <w:t> </w:t>
      </w:r>
      <w:r>
        <w:rPr>
          <w:spacing w:val="-5"/>
        </w:rPr>
        <w:t>to</w:t>
      </w:r>
    </w:p>
    <w:p>
      <w:pPr>
        <w:pStyle w:val="BodyText"/>
        <w:spacing w:before="64"/>
        <w:ind w:right="225"/>
      </w:pPr>
      <w:r>
        <w:rPr/>
        <w:br w:type="column"/>
      </w:r>
      <w:r>
        <w:rPr/>
        <w:t>97.4% for organizations without monitoring (Unnava, N. 2025).</w:t>
      </w:r>
    </w:p>
    <w:p>
      <w:pPr>
        <w:pStyle w:val="BodyText"/>
        <w:spacing w:before="137"/>
        <w:ind w:right="221"/>
      </w:pPr>
      <w:r>
        <w:rPr/>
        <w:t>Financial integrations increasingly implement mutual TLS (mTLS) authentication, with adoption rates rising from 37.2% in 2022 to 71.8% in 2024 as organizations respond to the 243% increase in API-targeted attacks observed over the same</w:t>
      </w:r>
      <w:r>
        <w:rPr>
          <w:spacing w:val="40"/>
        </w:rPr>
        <w:t> </w:t>
      </w:r>
      <w:r>
        <w:rPr/>
        <w:t>period (Modesti, P. </w:t>
      </w:r>
      <w:r>
        <w:rPr>
          <w:i/>
        </w:rPr>
        <w:t>et al., </w:t>
      </w:r>
      <w:r>
        <w:rPr/>
        <w:t>2025). This approach requires both client and server to present certificates, creating cryptographic assurance across 117 billion annual financial transactions processed by the organizations studied, with implementation complexity varying significantly based on organizational maturity—mature organizations report average implementation costs of $172,000 compared to $437,000 for those with less developed security programs (Unnava, N. 2025). While operationally more complex, adding an average of 14.3 days to initial integration implementation timelines, mTLS significantly reduces security risks, with analysis of 142 financial institutions by the Financial Services Information</w:t>
      </w:r>
      <w:r>
        <w:rPr>
          <w:spacing w:val="-2"/>
        </w:rPr>
        <w:t> </w:t>
      </w:r>
      <w:r>
        <w:rPr/>
        <w:t>Sharing</w:t>
      </w:r>
      <w:r>
        <w:rPr>
          <w:spacing w:val="-5"/>
        </w:rPr>
        <w:t> </w:t>
      </w:r>
      <w:r>
        <w:rPr/>
        <w:t>and</w:t>
      </w:r>
      <w:r>
        <w:rPr>
          <w:spacing w:val="-2"/>
        </w:rPr>
        <w:t> </w:t>
      </w:r>
      <w:r>
        <w:rPr/>
        <w:t>Analysis</w:t>
      </w:r>
      <w:r>
        <w:rPr>
          <w:spacing w:val="-3"/>
        </w:rPr>
        <w:t> </w:t>
      </w:r>
      <w:r>
        <w:rPr/>
        <w:t>Center</w:t>
      </w:r>
      <w:r>
        <w:rPr>
          <w:spacing w:val="-2"/>
        </w:rPr>
        <w:t> </w:t>
      </w:r>
      <w:r>
        <w:rPr/>
        <w:t>revealing that organizations implementing mTLS experienced 76% fewer unauthorized access incidents compared to those using standard TLS implementations, translating to approximately 347 prevented incidents annually per institution and avoiding an estimated $4.7 million in breach- related costs (Modesti, P. </w:t>
      </w:r>
      <w:r>
        <w:rPr>
          <w:i/>
        </w:rPr>
        <w:t>et al., </w:t>
      </w:r>
      <w:r>
        <w:rPr/>
        <w:t>2025).</w:t>
      </w:r>
    </w:p>
    <w:p>
      <w:pPr>
        <w:pStyle w:val="BodyText"/>
        <w:tabs>
          <w:tab w:pos="2206" w:val="left" w:leader="none"/>
          <w:tab w:pos="3794" w:val="left" w:leader="none"/>
        </w:tabs>
        <w:spacing w:before="139"/>
        <w:ind w:right="224"/>
      </w:pPr>
      <w:r>
        <w:rPr/>
        <w:t>API gateway adoption has standardized transport security in financial integrations, with 89.3% of organizations implementing centralized API management platforms managing an average of 273 distinct endpoints that process 67.3% of all transaction volume (Unnava, N. 2025). OAuth 2.0 Client Creational Flow System-to-System Prend</w:t>
      </w:r>
      <w:r>
        <w:rPr>
          <w:spacing w:val="40"/>
        </w:rPr>
        <w:t> </w:t>
      </w:r>
      <w:r>
        <w:rPr/>
        <w:t>for Communication (72.4% adoption), 3.7 additional safety elements such as API keys (91.2%), IP vaulting (83.7%), and to request,</w:t>
      </w:r>
      <w:r>
        <w:rPr>
          <w:spacing w:val="40"/>
        </w:rPr>
        <w:t> </w:t>
      </w:r>
      <w:r>
        <w:rPr/>
        <w:t>which is to reduce the acting-in-delegation for the upliftment-to attack up to the upstand (67.4%), which are unfamiliar. Average processing of 17.4 million API calls per institute (Modesti, P. </w:t>
      </w:r>
      <w:r>
        <w:rPr>
          <w:i/>
        </w:rPr>
        <w:t>et al., </w:t>
      </w:r>
      <w:r>
        <w:rPr/>
        <w:t>2025). These layered controls have reduced API- related security incidents by 83.2% while </w:t>
      </w:r>
      <w:r>
        <w:rPr>
          <w:spacing w:val="-2"/>
        </w:rPr>
        <w:t>simultaneously</w:t>
      </w:r>
      <w:r>
        <w:rPr/>
        <w:tab/>
      </w:r>
      <w:r>
        <w:rPr>
          <w:spacing w:val="-2"/>
        </w:rPr>
        <w:t>decreasing</w:t>
      </w:r>
      <w:r>
        <w:rPr/>
        <w:tab/>
      </w:r>
      <w:r>
        <w:rPr>
          <w:spacing w:val="-2"/>
        </w:rPr>
        <w:t>integration </w:t>
      </w:r>
      <w:r>
        <w:rPr/>
        <w:t>development time by 37.4% through standardized security patterns, with organizations implementing comprehensive</w:t>
      </w:r>
      <w:r>
        <w:rPr>
          <w:spacing w:val="64"/>
        </w:rPr>
        <w:t> </w:t>
      </w:r>
      <w:r>
        <w:rPr/>
        <w:t>API</w:t>
      </w:r>
      <w:r>
        <w:rPr>
          <w:spacing w:val="60"/>
        </w:rPr>
        <w:t> </w:t>
      </w:r>
      <w:r>
        <w:rPr/>
        <w:t>security</w:t>
      </w:r>
      <w:r>
        <w:rPr>
          <w:spacing w:val="62"/>
        </w:rPr>
        <w:t> </w:t>
      </w:r>
      <w:r>
        <w:rPr/>
        <w:t>programs</w:t>
      </w:r>
      <w:r>
        <w:rPr>
          <w:spacing w:val="66"/>
        </w:rPr>
        <w:t> </w:t>
      </w:r>
      <w:r>
        <w:rPr>
          <w:spacing w:val="-2"/>
        </w:rPr>
        <w:t>reporting</w:t>
      </w:r>
    </w:p>
    <w:p>
      <w:pPr>
        <w:pStyle w:val="BodyText"/>
        <w:spacing w:before="1"/>
      </w:pPr>
      <w:r>
        <w:rPr/>
        <w:t>$3.2</w:t>
      </w:r>
      <w:r>
        <w:rPr>
          <w:spacing w:val="61"/>
        </w:rPr>
        <w:t> </w:t>
      </w:r>
      <w:r>
        <w:rPr/>
        <w:t>million</w:t>
      </w:r>
      <w:r>
        <w:rPr>
          <w:spacing w:val="65"/>
        </w:rPr>
        <w:t> </w:t>
      </w:r>
      <w:r>
        <w:rPr/>
        <w:t>average</w:t>
      </w:r>
      <w:r>
        <w:rPr>
          <w:spacing w:val="64"/>
        </w:rPr>
        <w:t> </w:t>
      </w:r>
      <w:r>
        <w:rPr/>
        <w:t>yearly</w:t>
      </w:r>
      <w:r>
        <w:rPr>
          <w:spacing w:val="61"/>
        </w:rPr>
        <w:t> </w:t>
      </w:r>
      <w:r>
        <w:rPr/>
        <w:t>savings</w:t>
      </w:r>
      <w:r>
        <w:rPr>
          <w:spacing w:val="64"/>
        </w:rPr>
        <w:t> </w:t>
      </w:r>
      <w:r>
        <w:rPr/>
        <w:t>in</w:t>
      </w:r>
      <w:r>
        <w:rPr>
          <w:spacing w:val="64"/>
        </w:rPr>
        <w:t> </w:t>
      </w:r>
      <w:r>
        <w:rPr>
          <w:spacing w:val="-2"/>
        </w:rPr>
        <w:t>security</w:t>
      </w:r>
    </w:p>
    <w:p>
      <w:pPr>
        <w:pStyle w:val="BodyText"/>
        <w:spacing w:after="0"/>
        <w:sectPr>
          <w:type w:val="continuous"/>
          <w:pgSz w:w="11910" w:h="16840"/>
          <w:pgMar w:header="1025" w:footer="1033" w:top="440" w:bottom="1220" w:left="850" w:right="850"/>
          <w:cols w:num="2" w:equalWidth="0">
            <w:col w:w="4794" w:space="434"/>
            <w:col w:w="4982"/>
          </w:cols>
        </w:sectPr>
      </w:pPr>
    </w:p>
    <w:p>
      <w:pPr>
        <w:pStyle w:val="BodyText"/>
        <w:spacing w:before="165"/>
        <w:ind w:right="44"/>
      </w:pPr>
      <w:r>
        <w:rPr/>
        <mc:AlternateContent>
          <mc:Choice Requires="wps">
            <w:drawing>
              <wp:anchor distT="0" distB="0" distL="0" distR="0" allowOverlap="1" layoutInCell="1" locked="0" behindDoc="0" simplePos="0" relativeHeight="15734272">
                <wp:simplePos x="0" y="0"/>
                <wp:positionH relativeFrom="page">
                  <wp:posOffset>667512</wp:posOffset>
                </wp:positionH>
                <wp:positionV relativeFrom="paragraph">
                  <wp:posOffset>76351</wp:posOffset>
                </wp:positionV>
                <wp:extent cx="6227445" cy="127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4272" id="docshape18" filled="true" fillcolor="#17365d" stroked="false">
                <v:fill type="solid"/>
                <w10:wrap type="none"/>
              </v:rect>
            </w:pict>
          </mc:Fallback>
        </mc:AlternateContent>
      </w:r>
      <w:r>
        <w:rPr/>
        <w:t>incident response costs compared to fragmented approaches (Unnava, N. 2025).</w:t>
      </w:r>
    </w:p>
    <w:p>
      <w:pPr>
        <w:pStyle w:val="Heading2"/>
        <w:spacing w:line="216" w:lineRule="auto" w:before="142"/>
        <w:ind w:right="45"/>
      </w:pPr>
      <w:r>
        <w:rPr>
          <w:color w:val="4F81BC"/>
        </w:rPr>
        <w:t>IMPLEMENTATION PATTERNS </w:t>
      </w:r>
      <w:r>
        <w:rPr>
          <w:color w:val="4F81BC"/>
        </w:rPr>
        <w:t>FOR FINANCIAL SYSTEM INTEGRATION</w:t>
      </w:r>
    </w:p>
    <w:p>
      <w:pPr>
        <w:pStyle w:val="BodyText"/>
        <w:ind w:right="38"/>
      </w:pPr>
      <w:r>
        <w:rPr/>
        <w:t>Practical implementation of secure data flows in financial environments demands specialized patterns tailored to specific integration scenarios, with quantitative research demonstrating significant security and operational benefits across diverse banking architectures. For CRM-to-ERP integrations involving customer financial data, the "Secure</w:t>
      </w:r>
      <w:r>
        <w:rPr>
          <w:spacing w:val="-2"/>
        </w:rPr>
        <w:t> </w:t>
      </w:r>
      <w:r>
        <w:rPr/>
        <w:t>Gateway</w:t>
      </w:r>
      <w:r>
        <w:rPr>
          <w:spacing w:val="-4"/>
        </w:rPr>
        <w:t> </w:t>
      </w:r>
      <w:r>
        <w:rPr/>
        <w:t>with</w:t>
      </w:r>
      <w:r>
        <w:rPr>
          <w:spacing w:val="-2"/>
        </w:rPr>
        <w:t> </w:t>
      </w:r>
      <w:r>
        <w:rPr/>
        <w:t>Field-level</w:t>
      </w:r>
      <w:r>
        <w:rPr>
          <w:spacing w:val="-1"/>
        </w:rPr>
        <w:t> </w:t>
      </w:r>
      <w:r>
        <w:rPr/>
        <w:t>Transformation" pattern has achieved 87.3% adoption among financial institutions managing over $50 billion in assets, with implementation rates increasing from 63.7% in 2021 to current levels (Tong, X., 2025). This pattern incorporates an integration layer that transforms customer records in transit, applying appropriate tokenization to an average of 17 distinct data elements, masking for 23 PII fields, and field-level encryption for nine highly sensitive elements based on data classification policies before transmission to receiving systems, reducing sensitive data exposure incidents by 93.2% while processing an average of 1.74 million customer records daily across integration boundaries involving legacy systems averaging 14.3 years of age (Avato, 2025). Organizations implementing this pattern report 76.4% fewer security audit findings related to customer data handling and 43.7% faster integration development cycles, with implementation costs averaging $437,000 but delivering $1.87 million in annual compliance cost savings and reducing mean time to market for new integrated services from 73 days to 42 days across a sample of 127 financial institutions operating in multiple jurisdictions (Tong, X., 2025).</w:t>
      </w:r>
    </w:p>
    <w:p>
      <w:pPr>
        <w:pStyle w:val="BodyText"/>
        <w:spacing w:before="130"/>
        <w:ind w:right="38"/>
      </w:pPr>
      <w:r>
        <w:rPr/>
        <w:t>Payment gateway integrations leverage the "Tokenized Endpoint" pattern, adopted by 91.7% of financial institutions processing credit card transactions,</w:t>
      </w:r>
      <w:r>
        <w:rPr>
          <w:spacing w:val="-5"/>
        </w:rPr>
        <w:t> </w:t>
      </w:r>
      <w:r>
        <w:rPr/>
        <w:t>with</w:t>
      </w:r>
      <w:r>
        <w:rPr>
          <w:spacing w:val="-4"/>
        </w:rPr>
        <w:t> </w:t>
      </w:r>
      <w:r>
        <w:rPr/>
        <w:t>particularly</w:t>
      </w:r>
      <w:r>
        <w:rPr>
          <w:spacing w:val="-5"/>
        </w:rPr>
        <w:t> </w:t>
      </w:r>
      <w:r>
        <w:rPr/>
        <w:t>high</w:t>
      </w:r>
      <w:r>
        <w:rPr>
          <w:spacing w:val="-5"/>
        </w:rPr>
        <w:t> </w:t>
      </w:r>
      <w:r>
        <w:rPr/>
        <w:t>implementation rates (97.3%) among institutions processing more than 1 million daily transactions (Avato, 2025). This pattern removes the need for merchants to store payment card information by replacing card numbers with tokens at the earliest possible point in the transaction flow, 99.997% token with token reliability processing 37.2 million transactions per day, applying tokens as a system-off-record Identifier for subsequent processing as a system- off-rated Identifier and harming the average of the average 14.7 downstream system of transactions flow</w:t>
      </w:r>
      <w:r>
        <w:rPr>
          <w:spacing w:val="42"/>
        </w:rPr>
        <w:t> </w:t>
      </w:r>
      <w:r>
        <w:rPr/>
        <w:t>(Tong,</w:t>
      </w:r>
      <w:r>
        <w:rPr>
          <w:spacing w:val="42"/>
        </w:rPr>
        <w:t> </w:t>
      </w:r>
      <w:r>
        <w:rPr/>
        <w:t>X.,</w:t>
      </w:r>
      <w:r>
        <w:rPr>
          <w:spacing w:val="44"/>
        </w:rPr>
        <w:t> </w:t>
      </w:r>
      <w:r>
        <w:rPr/>
        <w:t>2025).</w:t>
      </w:r>
      <w:r>
        <w:rPr>
          <w:spacing w:val="42"/>
        </w:rPr>
        <w:t> </w:t>
      </w:r>
      <w:r>
        <w:rPr/>
        <w:t>Organizations</w:t>
      </w:r>
      <w:r>
        <w:rPr>
          <w:spacing w:val="43"/>
        </w:rPr>
        <w:t> </w:t>
      </w:r>
      <w:r>
        <w:rPr>
          <w:spacing w:val="-2"/>
        </w:rPr>
        <w:t>employing</w:t>
      </w:r>
    </w:p>
    <w:p>
      <w:pPr>
        <w:pStyle w:val="BodyText"/>
        <w:spacing w:before="165"/>
        <w:ind w:right="226"/>
      </w:pPr>
      <w:r>
        <w:rPr/>
        <w:br w:type="column"/>
      </w:r>
      <w:r>
        <w:rPr/>
        <w:t>this pattern experience 97.4% fewer payment card data breaches compared to those storing actual</w:t>
      </w:r>
      <w:r>
        <w:rPr>
          <w:spacing w:val="40"/>
        </w:rPr>
        <w:t> </w:t>
      </w:r>
      <w:r>
        <w:rPr/>
        <w:t>card</w:t>
      </w:r>
      <w:r>
        <w:rPr>
          <w:spacing w:val="67"/>
        </w:rPr>
        <w:t> </w:t>
      </w:r>
      <w:r>
        <w:rPr/>
        <w:t>data,</w:t>
      </w:r>
      <w:r>
        <w:rPr>
          <w:spacing w:val="68"/>
        </w:rPr>
        <w:t> </w:t>
      </w:r>
      <w:r>
        <w:rPr/>
        <w:t>with</w:t>
      </w:r>
      <w:r>
        <w:rPr>
          <w:spacing w:val="68"/>
        </w:rPr>
        <w:t> </w:t>
      </w:r>
      <w:r>
        <w:rPr/>
        <w:t>implementation</w:t>
      </w:r>
      <w:r>
        <w:rPr>
          <w:spacing w:val="67"/>
        </w:rPr>
        <w:t> </w:t>
      </w:r>
      <w:r>
        <w:rPr/>
        <w:t>costs</w:t>
      </w:r>
      <w:r>
        <w:rPr>
          <w:spacing w:val="69"/>
        </w:rPr>
        <w:t> </w:t>
      </w:r>
      <w:r>
        <w:rPr>
          <w:spacing w:val="-2"/>
        </w:rPr>
        <w:t>averaging</w:t>
      </w:r>
    </w:p>
    <w:p>
      <w:pPr>
        <w:pStyle w:val="BodyText"/>
        <w:ind w:right="224"/>
      </w:pPr>
      <w:r>
        <w:rPr/>
        <w:t>$674,000</w:t>
      </w:r>
      <w:r>
        <w:rPr>
          <w:spacing w:val="-3"/>
        </w:rPr>
        <w:t> </w:t>
      </w:r>
      <w:r>
        <w:rPr/>
        <w:t>but</w:t>
      </w:r>
      <w:r>
        <w:rPr>
          <w:spacing w:val="-2"/>
        </w:rPr>
        <w:t> </w:t>
      </w:r>
      <w:r>
        <w:rPr/>
        <w:t>delivering</w:t>
      </w:r>
      <w:r>
        <w:rPr>
          <w:spacing w:val="-4"/>
        </w:rPr>
        <w:t> </w:t>
      </w:r>
      <w:r>
        <w:rPr/>
        <w:t>ROI</w:t>
      </w:r>
      <w:r>
        <w:rPr>
          <w:spacing w:val="-5"/>
        </w:rPr>
        <w:t> </w:t>
      </w:r>
      <w:r>
        <w:rPr/>
        <w:t>within</w:t>
      </w:r>
      <w:r>
        <w:rPr>
          <w:spacing w:val="-1"/>
        </w:rPr>
        <w:t> </w:t>
      </w:r>
      <w:r>
        <w:rPr/>
        <w:t>9.7</w:t>
      </w:r>
      <w:r>
        <w:rPr>
          <w:spacing w:val="-1"/>
        </w:rPr>
        <w:t> </w:t>
      </w:r>
      <w:r>
        <w:rPr/>
        <w:t>months</w:t>
      </w:r>
      <w:r>
        <w:rPr>
          <w:spacing w:val="-3"/>
        </w:rPr>
        <w:t> </w:t>
      </w:r>
      <w:r>
        <w:rPr/>
        <w:t>for institutions processing more than 500,000 monthly transactions, while simultaneously reducing transaction processing latency by 23.7</w:t>
      </w:r>
      <w:r>
        <w:rPr>
          <w:spacing w:val="40"/>
        </w:rPr>
        <w:t> </w:t>
      </w:r>
      <w:r>
        <w:rPr/>
        <w:t>milliseconds compared to implementations performing real-time encryption/decryption operations (Avato, 2025).</w:t>
      </w:r>
    </w:p>
    <w:p>
      <w:pPr>
        <w:pStyle w:val="BodyText"/>
        <w:tabs>
          <w:tab w:pos="1983" w:val="left" w:leader="none"/>
          <w:tab w:pos="4082" w:val="left" w:leader="none"/>
        </w:tabs>
        <w:spacing w:before="139"/>
        <w:ind w:right="223"/>
      </w:pPr>
      <w:r>
        <w:rPr/>
        <w:t>Regulatory reporting integrations employ the </w:t>
      </w:r>
      <w:r>
        <w:rPr>
          <w:spacing w:val="-2"/>
        </w:rPr>
        <w:t>"Aggregated</w:t>
      </w:r>
      <w:r>
        <w:rPr/>
        <w:tab/>
      </w:r>
      <w:r>
        <w:rPr>
          <w:spacing w:val="-2"/>
        </w:rPr>
        <w:t>Anonymization"</w:t>
      </w:r>
      <w:r>
        <w:rPr/>
        <w:tab/>
      </w:r>
      <w:r>
        <w:rPr>
          <w:spacing w:val="-2"/>
        </w:rPr>
        <w:t>pattern, </w:t>
      </w:r>
      <w:r>
        <w:rPr/>
        <w:t>implemented by 83.2% of institutions subject to regulatory reporting requirements across an average of 17.3 distinct regulatory frameworks, with adoption accelerating following the implementation of GDPR, CCPA, and similar privacy regulations worldwide (Tong, X., 2025). This pattern enables compliance while protecting individual privacy by aggregating transaction data to the appropriate level for regulatory purposes, applying</w:t>
      </w:r>
      <w:r>
        <w:rPr>
          <w:spacing w:val="-1"/>
        </w:rPr>
        <w:t> </w:t>
      </w:r>
      <w:r>
        <w:rPr/>
        <w:t>k-anonymity</w:t>
      </w:r>
      <w:r>
        <w:rPr>
          <w:spacing w:val="-1"/>
        </w:rPr>
        <w:t> </w:t>
      </w:r>
      <w:r>
        <w:rPr/>
        <w:t>techniques (k=7 on average, with</w:t>
      </w:r>
      <w:r>
        <w:rPr>
          <w:spacing w:val="-3"/>
        </w:rPr>
        <w:t> </w:t>
      </w:r>
      <w:r>
        <w:rPr/>
        <w:t>values</w:t>
      </w:r>
      <w:r>
        <w:rPr>
          <w:spacing w:val="-3"/>
        </w:rPr>
        <w:t> </w:t>
      </w:r>
      <w:r>
        <w:rPr/>
        <w:t>ranging</w:t>
      </w:r>
      <w:r>
        <w:rPr>
          <w:spacing w:val="-6"/>
        </w:rPr>
        <w:t> </w:t>
      </w:r>
      <w:r>
        <w:rPr/>
        <w:t>from</w:t>
      </w:r>
      <w:r>
        <w:rPr>
          <w:spacing w:val="-7"/>
        </w:rPr>
        <w:t> </w:t>
      </w:r>
      <w:r>
        <w:rPr/>
        <w:t>k=5</w:t>
      </w:r>
      <w:r>
        <w:rPr>
          <w:spacing w:val="-3"/>
        </w:rPr>
        <w:t> </w:t>
      </w:r>
      <w:r>
        <w:rPr/>
        <w:t>for</w:t>
      </w:r>
      <w:r>
        <w:rPr>
          <w:spacing w:val="-3"/>
        </w:rPr>
        <w:t> </w:t>
      </w:r>
      <w:r>
        <w:rPr/>
        <w:t>internal</w:t>
      </w:r>
      <w:r>
        <w:rPr>
          <w:spacing w:val="-5"/>
        </w:rPr>
        <w:t> </w:t>
      </w:r>
      <w:r>
        <w:rPr/>
        <w:t>reporting to</w:t>
      </w:r>
      <w:r>
        <w:rPr>
          <w:spacing w:val="-2"/>
        </w:rPr>
        <w:t> </w:t>
      </w:r>
      <w:r>
        <w:rPr/>
        <w:t>k=12</w:t>
      </w:r>
      <w:r>
        <w:rPr>
          <w:spacing w:val="-2"/>
        </w:rPr>
        <w:t> </w:t>
      </w:r>
      <w:r>
        <w:rPr/>
        <w:t>for</w:t>
      </w:r>
      <w:r>
        <w:rPr>
          <w:spacing w:val="-1"/>
        </w:rPr>
        <w:t> </w:t>
      </w:r>
      <w:r>
        <w:rPr/>
        <w:t>public</w:t>
      </w:r>
      <w:r>
        <w:rPr>
          <w:spacing w:val="-4"/>
        </w:rPr>
        <w:t> </w:t>
      </w:r>
      <w:r>
        <w:rPr/>
        <w:t>disclosures)</w:t>
      </w:r>
      <w:r>
        <w:rPr>
          <w:spacing w:val="-4"/>
        </w:rPr>
        <w:t> </w:t>
      </w:r>
      <w:r>
        <w:rPr/>
        <w:t>to</w:t>
      </w:r>
      <w:r>
        <w:rPr>
          <w:spacing w:val="-4"/>
        </w:rPr>
        <w:t> </w:t>
      </w:r>
      <w:r>
        <w:rPr/>
        <w:t>ensure</w:t>
      </w:r>
      <w:r>
        <w:rPr>
          <w:spacing w:val="-4"/>
        </w:rPr>
        <w:t> </w:t>
      </w:r>
      <w:r>
        <w:rPr/>
        <w:t>individual transactions cannot be reverse-engineered</w:t>
      </w:r>
      <w:r>
        <w:rPr>
          <w:spacing w:val="-2"/>
        </w:rPr>
        <w:t> </w:t>
      </w:r>
      <w:r>
        <w:rPr/>
        <w:t>from</w:t>
      </w:r>
      <w:r>
        <w:rPr>
          <w:spacing w:val="-3"/>
        </w:rPr>
        <w:t> </w:t>
      </w:r>
      <w:r>
        <w:rPr/>
        <w:t>the aggregated data while maintaining statistical accuracy within regulatory thresholds (Avato, 2025). With the organization of 93.7% lower privacy violations and 47.3% faster regulatory reports</w:t>
      </w:r>
      <w:r>
        <w:rPr>
          <w:spacing w:val="-2"/>
        </w:rPr>
        <w:t> </w:t>
      </w:r>
      <w:r>
        <w:rPr/>
        <w:t>implementing</w:t>
      </w:r>
      <w:r>
        <w:rPr>
          <w:spacing w:val="-2"/>
        </w:rPr>
        <w:t> </w:t>
      </w:r>
      <w:r>
        <w:rPr/>
        <w:t>this</w:t>
      </w:r>
      <w:r>
        <w:rPr>
          <w:spacing w:val="-2"/>
        </w:rPr>
        <w:t> </w:t>
      </w:r>
      <w:r>
        <w:rPr/>
        <w:t>pattern</w:t>
      </w:r>
      <w:r>
        <w:rPr>
          <w:spacing w:val="-2"/>
        </w:rPr>
        <w:t> </w:t>
      </w:r>
      <w:r>
        <w:rPr/>
        <w:t>report,</w:t>
      </w:r>
      <w:r>
        <w:rPr>
          <w:spacing w:val="-1"/>
        </w:rPr>
        <w:t> </w:t>
      </w:r>
      <w:r>
        <w:rPr/>
        <w:t>additional information was accepted without requests compared to 73.6% for organizations using 99.3% submission, with 99.3% submission, without requests, annual labor savings for global institutions average $ 1.23 million.</w:t>
      </w:r>
    </w:p>
    <w:p>
      <w:pPr>
        <w:pStyle w:val="BodyText"/>
        <w:spacing w:before="137"/>
      </w:pPr>
      <w:r>
        <w:rPr/>
        <w:t>Cross-border</w:t>
      </w:r>
      <w:r>
        <w:rPr>
          <w:spacing w:val="78"/>
        </w:rPr>
        <w:t> </w:t>
      </w:r>
      <w:r>
        <w:rPr/>
        <w:t>financial</w:t>
      </w:r>
      <w:r>
        <w:rPr>
          <w:spacing w:val="55"/>
          <w:w w:val="150"/>
        </w:rPr>
        <w:t> </w:t>
      </w:r>
      <w:r>
        <w:rPr/>
        <w:t>transfers,</w:t>
      </w:r>
      <w:r>
        <w:rPr>
          <w:spacing w:val="53"/>
          <w:w w:val="150"/>
        </w:rPr>
        <w:t> </w:t>
      </w:r>
      <w:r>
        <w:rPr/>
        <w:t>which</w:t>
      </w:r>
      <w:r>
        <w:rPr>
          <w:spacing w:val="53"/>
          <w:w w:val="150"/>
        </w:rPr>
        <w:t> </w:t>
      </w:r>
      <w:r>
        <w:rPr>
          <w:spacing w:val="-2"/>
        </w:rPr>
        <w:t>average</w:t>
      </w:r>
    </w:p>
    <w:p>
      <w:pPr>
        <w:pStyle w:val="BodyText"/>
        <w:spacing w:before="2"/>
        <w:ind w:right="224"/>
      </w:pPr>
      <w:r>
        <w:rPr/>
        <w:t>1.37 million daily transactions worth $74.3 billion across the studied institutions, implement the "Jurisdictional Data Transformation" pattern to navigate the complex regulatory landscape spanning an average of 27 countries per global financial institution (Avato, 2025). This pattern, adopted by 78.4% of multinational financial institutions, dynamically transforms payload contents based on the regulatory requirements of both originating and receiving jurisdictions, incorporating rules engines that apply appropriate security controls based on data types, destinations, and</w:t>
      </w:r>
      <w:r>
        <w:rPr>
          <w:spacing w:val="57"/>
        </w:rPr>
        <w:t> </w:t>
      </w:r>
      <w:r>
        <w:rPr/>
        <w:t>applicable</w:t>
      </w:r>
      <w:r>
        <w:rPr>
          <w:spacing w:val="57"/>
        </w:rPr>
        <w:t> </w:t>
      </w:r>
      <w:r>
        <w:rPr/>
        <w:t>regulations</w:t>
      </w:r>
      <w:r>
        <w:rPr>
          <w:spacing w:val="55"/>
        </w:rPr>
        <w:t> </w:t>
      </w:r>
      <w:r>
        <w:rPr/>
        <w:t>across</w:t>
      </w:r>
      <w:r>
        <w:rPr>
          <w:spacing w:val="57"/>
        </w:rPr>
        <w:t> </w:t>
      </w:r>
      <w:r>
        <w:rPr/>
        <w:t>an</w:t>
      </w:r>
      <w:r>
        <w:rPr>
          <w:spacing w:val="57"/>
        </w:rPr>
        <w:t> </w:t>
      </w:r>
      <w:r>
        <w:rPr/>
        <w:t>average</w:t>
      </w:r>
      <w:r>
        <w:rPr>
          <w:spacing w:val="58"/>
        </w:rPr>
        <w:t> </w:t>
      </w:r>
      <w:r>
        <w:rPr>
          <w:spacing w:val="-5"/>
        </w:rPr>
        <w:t>of</w:t>
      </w:r>
    </w:p>
    <w:p>
      <w:pPr>
        <w:pStyle w:val="BodyText"/>
        <w:ind w:right="224"/>
      </w:pPr>
      <w:r>
        <w:rPr/>
        <w:t>43.2 distinct jurisdictional rule sets that are</w:t>
      </w:r>
      <w:r>
        <w:rPr>
          <w:spacing w:val="40"/>
        </w:rPr>
        <w:t> </w:t>
      </w:r>
      <w:r>
        <w:rPr/>
        <w:t>updated approximately every 47 days to reflect evolving regulatory requirements (Tong, X.,</w:t>
      </w:r>
      <w:r>
        <w:rPr>
          <w:spacing w:val="80"/>
        </w:rPr>
        <w:t> </w:t>
      </w:r>
      <w:r>
        <w:rPr/>
        <w:t>2025). Organizations implementing this pattern experience</w:t>
      </w:r>
      <w:r>
        <w:rPr>
          <w:spacing w:val="37"/>
        </w:rPr>
        <w:t> </w:t>
      </w:r>
      <w:r>
        <w:rPr/>
        <w:t>87.6%</w:t>
      </w:r>
      <w:r>
        <w:rPr>
          <w:spacing w:val="36"/>
        </w:rPr>
        <w:t> </w:t>
      </w:r>
      <w:r>
        <w:rPr/>
        <w:t>fewer</w:t>
      </w:r>
      <w:r>
        <w:rPr>
          <w:spacing w:val="38"/>
        </w:rPr>
        <w:t> </w:t>
      </w:r>
      <w:r>
        <w:rPr/>
        <w:t>cross-border</w:t>
      </w:r>
      <w:r>
        <w:rPr>
          <w:spacing w:val="36"/>
        </w:rPr>
        <w:t> </w:t>
      </w:r>
      <w:r>
        <w:rPr>
          <w:spacing w:val="-2"/>
        </w:rPr>
        <w:t>compliance</w:t>
      </w:r>
    </w:p>
    <w:p>
      <w:pPr>
        <w:pStyle w:val="BodyText"/>
        <w:spacing w:after="0"/>
        <w:sectPr>
          <w:pgSz w:w="11910" w:h="16840"/>
          <w:pgMar w:header="1025" w:footer="1033" w:top="1260" w:bottom="1220" w:left="850" w:right="850"/>
          <w:cols w:num="2" w:equalWidth="0">
            <w:col w:w="4793" w:space="435"/>
            <w:col w:w="4982"/>
          </w:cols>
        </w:sectPr>
      </w:pPr>
    </w:p>
    <w:p>
      <w:pPr>
        <w:pStyle w:val="BodyText"/>
        <w:spacing w:before="165"/>
        <w:ind w:right="38"/>
      </w:pPr>
      <w:r>
        <w:rPr/>
        <mc:AlternateContent>
          <mc:Choice Requires="wps">
            <w:drawing>
              <wp:anchor distT="0" distB="0" distL="0" distR="0" allowOverlap="1" layoutInCell="1" locked="0" behindDoc="0" simplePos="0" relativeHeight="15734784">
                <wp:simplePos x="0" y="0"/>
                <wp:positionH relativeFrom="page">
                  <wp:posOffset>667512</wp:posOffset>
                </wp:positionH>
                <wp:positionV relativeFrom="paragraph">
                  <wp:posOffset>76351</wp:posOffset>
                </wp:positionV>
                <wp:extent cx="6227445" cy="127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4784" id="docshape19" filled="true" fillcolor="#17365d" stroked="false">
                <v:fill type="solid"/>
                <w10:wrap type="none"/>
              </v:rect>
            </w:pict>
          </mc:Fallback>
        </mc:AlternateContent>
      </w:r>
      <w:r>
        <w:rPr/>
        <w:t>violations and 62.3% faster transaction processing times, with average pattern implementation costs</w:t>
      </w:r>
      <w:r>
        <w:rPr>
          <w:spacing w:val="40"/>
        </w:rPr>
        <w:t> </w:t>
      </w:r>
      <w:r>
        <w:rPr/>
        <w:t>of $1.27 million but annual compliance penalty avoidance</w:t>
      </w:r>
      <w:r>
        <w:rPr>
          <w:spacing w:val="30"/>
        </w:rPr>
        <w:t>  </w:t>
      </w:r>
      <w:r>
        <w:rPr/>
        <w:t>of</w:t>
      </w:r>
      <w:r>
        <w:rPr>
          <w:spacing w:val="33"/>
        </w:rPr>
        <w:t>  </w:t>
      </w:r>
      <w:r>
        <w:rPr/>
        <w:t>$3.74</w:t>
      </w:r>
      <w:r>
        <w:rPr>
          <w:spacing w:val="33"/>
        </w:rPr>
        <w:t>  </w:t>
      </w:r>
      <w:r>
        <w:rPr/>
        <w:t>million</w:t>
      </w:r>
      <w:r>
        <w:rPr>
          <w:spacing w:val="33"/>
        </w:rPr>
        <w:t>  </w:t>
      </w:r>
      <w:r>
        <w:rPr/>
        <w:t>and</w:t>
      </w:r>
      <w:r>
        <w:rPr>
          <w:spacing w:val="33"/>
        </w:rPr>
        <w:t>  </w:t>
      </w:r>
      <w:r>
        <w:rPr/>
        <w:t>cross-</w:t>
      </w:r>
      <w:r>
        <w:rPr>
          <w:spacing w:val="-2"/>
        </w:rPr>
        <w:t>border</w:t>
      </w:r>
    </w:p>
    <w:p>
      <w:pPr>
        <w:pStyle w:val="BodyText"/>
        <w:spacing w:before="165"/>
        <w:ind w:right="227"/>
      </w:pPr>
      <w:r>
        <w:rPr/>
        <w:br w:type="column"/>
      </w:r>
      <w:r>
        <w:rPr/>
        <w:t>transaction volume increases averaging 27.3% due to improved customer confidence in data handling practices (Avato, 2025).</w:t>
      </w:r>
    </w:p>
    <w:p>
      <w:pPr>
        <w:pStyle w:val="BodyText"/>
        <w:spacing w:after="0"/>
        <w:sectPr>
          <w:pgSz w:w="11910" w:h="16840"/>
          <w:pgMar w:header="1025" w:footer="1033" w:top="1260" w:bottom="1220" w:left="850" w:right="850"/>
          <w:cols w:num="2" w:equalWidth="0">
            <w:col w:w="4792" w:space="437"/>
            <w:col w:w="4981"/>
          </w:cols>
        </w:sectPr>
      </w:pPr>
    </w:p>
    <w:p>
      <w:pPr>
        <w:pStyle w:val="BodyText"/>
        <w:spacing w:before="137" w:after="8"/>
        <w:ind w:left="813"/>
        <w:jc w:val="left"/>
      </w:pPr>
      <w:r>
        <w:rPr>
          <w:b/>
        </w:rPr>
        <w:t>Table</w:t>
      </w:r>
      <w:r>
        <w:rPr>
          <w:b/>
          <w:spacing w:val="-6"/>
        </w:rPr>
        <w:t> </w:t>
      </w:r>
      <w:r>
        <w:rPr>
          <w:b/>
        </w:rPr>
        <w:t>4</w:t>
      </w:r>
      <w:r>
        <w:rPr/>
        <w:t>:</w:t>
      </w:r>
      <w:r>
        <w:rPr>
          <w:spacing w:val="-3"/>
        </w:rPr>
        <w:t> </w:t>
      </w:r>
      <w:r>
        <w:rPr/>
        <w:t>Financial</w:t>
      </w:r>
      <w:r>
        <w:rPr>
          <w:spacing w:val="-4"/>
        </w:rPr>
        <w:t> </w:t>
      </w:r>
      <w:r>
        <w:rPr/>
        <w:t>Integration</w:t>
      </w:r>
      <w:r>
        <w:rPr>
          <w:spacing w:val="-4"/>
        </w:rPr>
        <w:t> </w:t>
      </w:r>
      <w:r>
        <w:rPr/>
        <w:t>Pattern</w:t>
      </w:r>
      <w:r>
        <w:rPr>
          <w:spacing w:val="-5"/>
        </w:rPr>
        <w:t> </w:t>
      </w:r>
      <w:r>
        <w:rPr/>
        <w:t>Adoption</w:t>
      </w:r>
      <w:r>
        <w:rPr>
          <w:spacing w:val="-7"/>
        </w:rPr>
        <w:t> </w:t>
      </w:r>
      <w:r>
        <w:rPr/>
        <w:t>and</w:t>
      </w:r>
      <w:r>
        <w:rPr>
          <w:spacing w:val="-4"/>
        </w:rPr>
        <w:t> </w:t>
      </w:r>
      <w:r>
        <w:rPr/>
        <w:t>Effectiveness (</w:t>
      </w:r>
      <w:r>
        <w:rPr>
          <w:color w:val="212121"/>
        </w:rPr>
        <w:t>Tong,</w:t>
      </w:r>
      <w:r>
        <w:rPr>
          <w:color w:val="212121"/>
          <w:spacing w:val="-4"/>
        </w:rPr>
        <w:t> </w:t>
      </w:r>
      <w:r>
        <w:rPr>
          <w:color w:val="212121"/>
        </w:rPr>
        <w:t>X.,</w:t>
      </w:r>
      <w:r>
        <w:rPr>
          <w:color w:val="212121"/>
          <w:spacing w:val="-5"/>
        </w:rPr>
        <w:t> </w:t>
      </w:r>
      <w:r>
        <w:rPr>
          <w:color w:val="212121"/>
        </w:rPr>
        <w:t>2025;</w:t>
      </w:r>
      <w:r>
        <w:rPr>
          <w:color w:val="212121"/>
          <w:spacing w:val="-3"/>
        </w:rPr>
        <w:t> </w:t>
      </w:r>
      <w:r>
        <w:rPr/>
        <w:t>Avato,</w:t>
      </w:r>
      <w:r>
        <w:rPr>
          <w:spacing w:val="-4"/>
        </w:rPr>
        <w:t> </w:t>
      </w:r>
      <w:r>
        <w:rPr>
          <w:spacing w:val="-2"/>
        </w:rPr>
        <w:t>2025)</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61"/>
        <w:gridCol w:w="896"/>
      </w:tblGrid>
      <w:tr>
        <w:trPr>
          <w:trHeight w:val="251" w:hRule="atLeast"/>
        </w:trPr>
        <w:tc>
          <w:tcPr>
            <w:tcW w:w="4508" w:type="dxa"/>
          </w:tcPr>
          <w:p>
            <w:pPr>
              <w:pStyle w:val="TableParagraph"/>
              <w:spacing w:line="232" w:lineRule="exact"/>
              <w:ind w:left="9"/>
              <w:jc w:val="center"/>
              <w:rPr>
                <w:b/>
                <w:sz w:val="22"/>
              </w:rPr>
            </w:pPr>
            <w:r>
              <w:rPr>
                <w:b/>
                <w:spacing w:val="-2"/>
                <w:sz w:val="22"/>
              </w:rPr>
              <w:t>Pattern</w:t>
            </w:r>
          </w:p>
        </w:tc>
        <w:tc>
          <w:tcPr>
            <w:tcW w:w="4561" w:type="dxa"/>
          </w:tcPr>
          <w:p>
            <w:pPr>
              <w:pStyle w:val="TableParagraph"/>
              <w:spacing w:line="232" w:lineRule="exact"/>
              <w:ind w:left="3"/>
              <w:jc w:val="center"/>
              <w:rPr>
                <w:b/>
                <w:sz w:val="22"/>
              </w:rPr>
            </w:pPr>
            <w:r>
              <w:rPr>
                <w:b/>
                <w:spacing w:val="-2"/>
                <w:sz w:val="22"/>
              </w:rPr>
              <w:t>Metric</w:t>
            </w:r>
          </w:p>
        </w:tc>
        <w:tc>
          <w:tcPr>
            <w:tcW w:w="896" w:type="dxa"/>
          </w:tcPr>
          <w:p>
            <w:pPr>
              <w:pStyle w:val="TableParagraph"/>
              <w:spacing w:line="232" w:lineRule="exact"/>
              <w:jc w:val="center"/>
              <w:rPr>
                <w:b/>
                <w:sz w:val="22"/>
              </w:rPr>
            </w:pPr>
            <w:r>
              <w:rPr>
                <w:b/>
                <w:spacing w:val="-2"/>
                <w:sz w:val="22"/>
              </w:rPr>
              <w:t>Value</w:t>
            </w:r>
          </w:p>
        </w:tc>
      </w:tr>
      <w:tr>
        <w:trPr>
          <w:trHeight w:val="253" w:hRule="atLeast"/>
        </w:trPr>
        <w:tc>
          <w:tcPr>
            <w:tcW w:w="4508" w:type="dxa"/>
            <w:vMerge w:val="restart"/>
          </w:tcPr>
          <w:p>
            <w:pPr>
              <w:pStyle w:val="TableParagraph"/>
              <w:spacing w:line="242" w:lineRule="auto"/>
              <w:ind w:left="107" w:right="1499"/>
              <w:rPr>
                <w:sz w:val="22"/>
              </w:rPr>
            </w:pPr>
            <w:r>
              <w:rPr>
                <w:sz w:val="22"/>
              </w:rPr>
              <w:t>Secure</w:t>
            </w:r>
            <w:r>
              <w:rPr>
                <w:spacing w:val="-13"/>
                <w:sz w:val="22"/>
              </w:rPr>
              <w:t> </w:t>
            </w:r>
            <w:r>
              <w:rPr>
                <w:sz w:val="22"/>
              </w:rPr>
              <w:t>Gateway</w:t>
            </w:r>
            <w:r>
              <w:rPr>
                <w:spacing w:val="-14"/>
                <w:sz w:val="22"/>
              </w:rPr>
              <w:t> </w:t>
            </w:r>
            <w:r>
              <w:rPr>
                <w:sz w:val="22"/>
              </w:rPr>
              <w:t>with</w:t>
            </w:r>
            <w:r>
              <w:rPr>
                <w:spacing w:val="-12"/>
                <w:sz w:val="22"/>
              </w:rPr>
              <w:t> </w:t>
            </w:r>
            <w:r>
              <w:rPr>
                <w:sz w:val="22"/>
              </w:rPr>
              <w:t>Field-level </w:t>
            </w:r>
            <w:r>
              <w:rPr>
                <w:spacing w:val="-2"/>
                <w:sz w:val="22"/>
              </w:rPr>
              <w:t>Transformation</w:t>
            </w:r>
          </w:p>
        </w:tc>
        <w:tc>
          <w:tcPr>
            <w:tcW w:w="4561" w:type="dxa"/>
          </w:tcPr>
          <w:p>
            <w:pPr>
              <w:pStyle w:val="TableParagraph"/>
              <w:ind w:left="105"/>
              <w:rPr>
                <w:sz w:val="22"/>
              </w:rPr>
            </w:pPr>
            <w:r>
              <w:rPr>
                <w:sz w:val="22"/>
              </w:rPr>
              <w:t>Adoption</w:t>
            </w:r>
            <w:r>
              <w:rPr>
                <w:spacing w:val="-4"/>
                <w:sz w:val="22"/>
              </w:rPr>
              <w:t> </w:t>
            </w:r>
            <w:r>
              <w:rPr>
                <w:sz w:val="22"/>
              </w:rPr>
              <w:t>rate</w:t>
            </w:r>
            <w:r>
              <w:rPr>
                <w:spacing w:val="-4"/>
                <w:sz w:val="22"/>
              </w:rPr>
              <w:t> </w:t>
            </w:r>
            <w:r>
              <w:rPr>
                <w:sz w:val="22"/>
              </w:rPr>
              <w:t>(large</w:t>
            </w:r>
            <w:r>
              <w:rPr>
                <w:spacing w:val="-3"/>
                <w:sz w:val="22"/>
              </w:rPr>
              <w:t> </w:t>
            </w:r>
            <w:r>
              <w:rPr>
                <w:spacing w:val="-2"/>
                <w:sz w:val="22"/>
              </w:rPr>
              <w:t>institutions)</w:t>
            </w:r>
          </w:p>
        </w:tc>
        <w:tc>
          <w:tcPr>
            <w:tcW w:w="896" w:type="dxa"/>
          </w:tcPr>
          <w:p>
            <w:pPr>
              <w:pStyle w:val="TableParagraph"/>
              <w:ind w:right="1"/>
              <w:jc w:val="center"/>
              <w:rPr>
                <w:sz w:val="22"/>
              </w:rPr>
            </w:pPr>
            <w:r>
              <w:rPr>
                <w:spacing w:val="-2"/>
                <w:sz w:val="22"/>
              </w:rPr>
              <w:t>87.30%</w:t>
            </w:r>
          </w:p>
        </w:tc>
      </w:tr>
      <w:tr>
        <w:trPr>
          <w:trHeight w:val="251" w:hRule="atLeast"/>
        </w:trPr>
        <w:tc>
          <w:tcPr>
            <w:tcW w:w="4508" w:type="dxa"/>
            <w:vMerge/>
            <w:tcBorders>
              <w:top w:val="nil"/>
            </w:tcBorders>
          </w:tcPr>
          <w:p>
            <w:pPr>
              <w:rPr>
                <w:sz w:val="2"/>
                <w:szCs w:val="2"/>
              </w:rPr>
            </w:pPr>
          </w:p>
        </w:tc>
        <w:tc>
          <w:tcPr>
            <w:tcW w:w="4561" w:type="dxa"/>
          </w:tcPr>
          <w:p>
            <w:pPr>
              <w:pStyle w:val="TableParagraph"/>
              <w:spacing w:line="232" w:lineRule="exact"/>
              <w:ind w:left="105"/>
              <w:rPr>
                <w:sz w:val="22"/>
              </w:rPr>
            </w:pPr>
            <w:r>
              <w:rPr>
                <w:sz w:val="22"/>
              </w:rPr>
              <w:t>Data</w:t>
            </w:r>
            <w:r>
              <w:rPr>
                <w:spacing w:val="-3"/>
                <w:sz w:val="22"/>
              </w:rPr>
              <w:t> </w:t>
            </w:r>
            <w:r>
              <w:rPr>
                <w:sz w:val="22"/>
              </w:rPr>
              <w:t>exposure</w:t>
            </w:r>
            <w:r>
              <w:rPr>
                <w:spacing w:val="-4"/>
                <w:sz w:val="22"/>
              </w:rPr>
              <w:t> </w:t>
            </w:r>
            <w:r>
              <w:rPr>
                <w:sz w:val="22"/>
              </w:rPr>
              <w:t>incident</w:t>
            </w:r>
            <w:r>
              <w:rPr>
                <w:spacing w:val="-2"/>
                <w:sz w:val="22"/>
              </w:rPr>
              <w:t> reduction</w:t>
            </w:r>
          </w:p>
        </w:tc>
        <w:tc>
          <w:tcPr>
            <w:tcW w:w="896" w:type="dxa"/>
          </w:tcPr>
          <w:p>
            <w:pPr>
              <w:pStyle w:val="TableParagraph"/>
              <w:spacing w:line="232" w:lineRule="exact"/>
              <w:ind w:right="1"/>
              <w:jc w:val="center"/>
              <w:rPr>
                <w:sz w:val="22"/>
              </w:rPr>
            </w:pPr>
            <w:r>
              <w:rPr>
                <w:spacing w:val="-2"/>
                <w:sz w:val="22"/>
              </w:rPr>
              <w:t>93.20%</w:t>
            </w:r>
          </w:p>
        </w:tc>
      </w:tr>
      <w:tr>
        <w:trPr>
          <w:trHeight w:val="253" w:hRule="atLeast"/>
        </w:trPr>
        <w:tc>
          <w:tcPr>
            <w:tcW w:w="4508" w:type="dxa"/>
            <w:vMerge/>
            <w:tcBorders>
              <w:top w:val="nil"/>
            </w:tcBorders>
          </w:tcPr>
          <w:p>
            <w:pPr>
              <w:rPr>
                <w:sz w:val="2"/>
                <w:szCs w:val="2"/>
              </w:rPr>
            </w:pPr>
          </w:p>
        </w:tc>
        <w:tc>
          <w:tcPr>
            <w:tcW w:w="4561" w:type="dxa"/>
          </w:tcPr>
          <w:p>
            <w:pPr>
              <w:pStyle w:val="TableParagraph"/>
              <w:ind w:left="105"/>
              <w:rPr>
                <w:sz w:val="22"/>
              </w:rPr>
            </w:pPr>
            <w:r>
              <w:rPr>
                <w:sz w:val="22"/>
              </w:rPr>
              <w:t>Security</w:t>
            </w:r>
            <w:r>
              <w:rPr>
                <w:spacing w:val="-5"/>
                <w:sz w:val="22"/>
              </w:rPr>
              <w:t> </w:t>
            </w:r>
            <w:r>
              <w:rPr>
                <w:sz w:val="22"/>
              </w:rPr>
              <w:t>audit</w:t>
            </w:r>
            <w:r>
              <w:rPr>
                <w:spacing w:val="-5"/>
                <w:sz w:val="22"/>
              </w:rPr>
              <w:t> </w:t>
            </w:r>
            <w:r>
              <w:rPr>
                <w:sz w:val="22"/>
              </w:rPr>
              <w:t>finding</w:t>
            </w:r>
            <w:r>
              <w:rPr>
                <w:spacing w:val="-4"/>
                <w:sz w:val="22"/>
              </w:rPr>
              <w:t> </w:t>
            </w:r>
            <w:r>
              <w:rPr>
                <w:spacing w:val="-2"/>
                <w:sz w:val="22"/>
              </w:rPr>
              <w:t>reduction</w:t>
            </w:r>
          </w:p>
        </w:tc>
        <w:tc>
          <w:tcPr>
            <w:tcW w:w="896" w:type="dxa"/>
          </w:tcPr>
          <w:p>
            <w:pPr>
              <w:pStyle w:val="TableParagraph"/>
              <w:ind w:right="1"/>
              <w:jc w:val="center"/>
              <w:rPr>
                <w:sz w:val="22"/>
              </w:rPr>
            </w:pPr>
            <w:r>
              <w:rPr>
                <w:spacing w:val="-2"/>
                <w:sz w:val="22"/>
              </w:rPr>
              <w:t>76.40%</w:t>
            </w:r>
          </w:p>
        </w:tc>
      </w:tr>
      <w:tr>
        <w:trPr>
          <w:trHeight w:val="251" w:hRule="atLeast"/>
        </w:trPr>
        <w:tc>
          <w:tcPr>
            <w:tcW w:w="4508" w:type="dxa"/>
            <w:vMerge/>
            <w:tcBorders>
              <w:top w:val="nil"/>
            </w:tcBorders>
          </w:tcPr>
          <w:p>
            <w:pPr>
              <w:rPr>
                <w:sz w:val="2"/>
                <w:szCs w:val="2"/>
              </w:rPr>
            </w:pPr>
          </w:p>
        </w:tc>
        <w:tc>
          <w:tcPr>
            <w:tcW w:w="4561" w:type="dxa"/>
          </w:tcPr>
          <w:p>
            <w:pPr>
              <w:pStyle w:val="TableParagraph"/>
              <w:spacing w:line="232" w:lineRule="exact"/>
              <w:ind w:left="105"/>
              <w:rPr>
                <w:sz w:val="22"/>
              </w:rPr>
            </w:pPr>
            <w:r>
              <w:rPr>
                <w:sz w:val="22"/>
              </w:rPr>
              <w:t>Integration</w:t>
            </w:r>
            <w:r>
              <w:rPr>
                <w:spacing w:val="-5"/>
                <w:sz w:val="22"/>
              </w:rPr>
              <w:t> </w:t>
            </w:r>
            <w:r>
              <w:rPr>
                <w:sz w:val="22"/>
              </w:rPr>
              <w:t>development</w:t>
            </w:r>
            <w:r>
              <w:rPr>
                <w:spacing w:val="-4"/>
                <w:sz w:val="22"/>
              </w:rPr>
              <w:t> </w:t>
            </w:r>
            <w:r>
              <w:rPr>
                <w:sz w:val="22"/>
              </w:rPr>
              <w:t>cycle</w:t>
            </w:r>
            <w:r>
              <w:rPr>
                <w:spacing w:val="-6"/>
                <w:sz w:val="22"/>
              </w:rPr>
              <w:t> </w:t>
            </w:r>
            <w:r>
              <w:rPr>
                <w:spacing w:val="-2"/>
                <w:sz w:val="22"/>
              </w:rPr>
              <w:t>improvement</w:t>
            </w:r>
          </w:p>
        </w:tc>
        <w:tc>
          <w:tcPr>
            <w:tcW w:w="896" w:type="dxa"/>
          </w:tcPr>
          <w:p>
            <w:pPr>
              <w:pStyle w:val="TableParagraph"/>
              <w:spacing w:line="232" w:lineRule="exact"/>
              <w:ind w:right="1"/>
              <w:jc w:val="center"/>
              <w:rPr>
                <w:sz w:val="22"/>
              </w:rPr>
            </w:pPr>
            <w:r>
              <w:rPr>
                <w:spacing w:val="-2"/>
                <w:sz w:val="22"/>
              </w:rPr>
              <w:t>43.70%</w:t>
            </w:r>
          </w:p>
        </w:tc>
      </w:tr>
      <w:tr>
        <w:trPr>
          <w:trHeight w:val="254" w:hRule="atLeast"/>
        </w:trPr>
        <w:tc>
          <w:tcPr>
            <w:tcW w:w="4508" w:type="dxa"/>
            <w:vMerge/>
            <w:tcBorders>
              <w:top w:val="nil"/>
            </w:tcBorders>
          </w:tcPr>
          <w:p>
            <w:pPr>
              <w:rPr>
                <w:sz w:val="2"/>
                <w:szCs w:val="2"/>
              </w:rPr>
            </w:pPr>
          </w:p>
        </w:tc>
        <w:tc>
          <w:tcPr>
            <w:tcW w:w="4561" w:type="dxa"/>
          </w:tcPr>
          <w:p>
            <w:pPr>
              <w:pStyle w:val="TableParagraph"/>
              <w:ind w:left="105"/>
              <w:rPr>
                <w:sz w:val="22"/>
              </w:rPr>
            </w:pPr>
            <w:r>
              <w:rPr>
                <w:sz w:val="22"/>
              </w:rPr>
              <w:t>Annual</w:t>
            </w:r>
            <w:r>
              <w:rPr>
                <w:spacing w:val="-6"/>
                <w:sz w:val="22"/>
              </w:rPr>
              <w:t> </w:t>
            </w:r>
            <w:r>
              <w:rPr>
                <w:sz w:val="22"/>
              </w:rPr>
              <w:t>compliance</w:t>
            </w:r>
            <w:r>
              <w:rPr>
                <w:spacing w:val="-4"/>
                <w:sz w:val="22"/>
              </w:rPr>
              <w:t> </w:t>
            </w:r>
            <w:r>
              <w:rPr>
                <w:sz w:val="22"/>
              </w:rPr>
              <w:t>cost</w:t>
            </w:r>
            <w:r>
              <w:rPr>
                <w:spacing w:val="-4"/>
                <w:sz w:val="22"/>
              </w:rPr>
              <w:t> </w:t>
            </w:r>
            <w:r>
              <w:rPr>
                <w:sz w:val="22"/>
              </w:rPr>
              <w:t>savings</w:t>
            </w:r>
            <w:r>
              <w:rPr>
                <w:spacing w:val="-4"/>
                <w:sz w:val="22"/>
              </w:rPr>
              <w:t> </w:t>
            </w:r>
            <w:r>
              <w:rPr>
                <w:sz w:val="22"/>
              </w:rPr>
              <w:t>($</w:t>
            </w:r>
            <w:r>
              <w:rPr>
                <w:spacing w:val="-3"/>
                <w:sz w:val="22"/>
              </w:rPr>
              <w:t> </w:t>
            </w:r>
            <w:r>
              <w:rPr>
                <w:spacing w:val="-2"/>
                <w:sz w:val="22"/>
              </w:rPr>
              <w:t>millions)</w:t>
            </w:r>
          </w:p>
        </w:tc>
        <w:tc>
          <w:tcPr>
            <w:tcW w:w="896" w:type="dxa"/>
          </w:tcPr>
          <w:p>
            <w:pPr>
              <w:pStyle w:val="TableParagraph"/>
              <w:ind w:right="2"/>
              <w:jc w:val="center"/>
              <w:rPr>
                <w:sz w:val="22"/>
              </w:rPr>
            </w:pPr>
            <w:r>
              <w:rPr>
                <w:spacing w:val="-4"/>
                <w:sz w:val="22"/>
              </w:rPr>
              <w:t>1.87</w:t>
            </w:r>
          </w:p>
        </w:tc>
      </w:tr>
      <w:tr>
        <w:trPr>
          <w:trHeight w:val="254" w:hRule="atLeast"/>
        </w:trPr>
        <w:tc>
          <w:tcPr>
            <w:tcW w:w="4508" w:type="dxa"/>
            <w:vMerge w:val="restart"/>
          </w:tcPr>
          <w:p>
            <w:pPr>
              <w:pStyle w:val="TableParagraph"/>
              <w:spacing w:line="247" w:lineRule="exact"/>
              <w:ind w:left="107"/>
              <w:rPr>
                <w:sz w:val="22"/>
              </w:rPr>
            </w:pPr>
            <w:r>
              <w:rPr>
                <w:sz w:val="22"/>
              </w:rPr>
              <w:t>Tokenized</w:t>
            </w:r>
            <w:r>
              <w:rPr>
                <w:spacing w:val="-3"/>
                <w:sz w:val="22"/>
              </w:rPr>
              <w:t> </w:t>
            </w:r>
            <w:r>
              <w:rPr>
                <w:spacing w:val="-2"/>
                <w:sz w:val="22"/>
              </w:rPr>
              <w:t>Endpoint</w:t>
            </w:r>
          </w:p>
        </w:tc>
        <w:tc>
          <w:tcPr>
            <w:tcW w:w="4561" w:type="dxa"/>
          </w:tcPr>
          <w:p>
            <w:pPr>
              <w:pStyle w:val="TableParagraph"/>
              <w:ind w:left="105"/>
              <w:rPr>
                <w:sz w:val="22"/>
              </w:rPr>
            </w:pPr>
            <w:r>
              <w:rPr>
                <w:sz w:val="22"/>
              </w:rPr>
              <w:t>Adoption</w:t>
            </w:r>
            <w:r>
              <w:rPr>
                <w:spacing w:val="-4"/>
                <w:sz w:val="22"/>
              </w:rPr>
              <w:t> </w:t>
            </w:r>
            <w:r>
              <w:rPr>
                <w:sz w:val="22"/>
              </w:rPr>
              <w:t>rate</w:t>
            </w:r>
            <w:r>
              <w:rPr>
                <w:spacing w:val="-5"/>
                <w:sz w:val="22"/>
              </w:rPr>
              <w:t> </w:t>
            </w:r>
            <w:r>
              <w:rPr>
                <w:sz w:val="22"/>
              </w:rPr>
              <w:t>(all</w:t>
            </w:r>
            <w:r>
              <w:rPr>
                <w:spacing w:val="-5"/>
                <w:sz w:val="22"/>
              </w:rPr>
              <w:t> </w:t>
            </w:r>
            <w:r>
              <w:rPr>
                <w:sz w:val="22"/>
              </w:rPr>
              <w:t>financial</w:t>
            </w:r>
            <w:r>
              <w:rPr>
                <w:spacing w:val="-5"/>
                <w:sz w:val="22"/>
              </w:rPr>
              <w:t> </w:t>
            </w:r>
            <w:r>
              <w:rPr>
                <w:spacing w:val="-2"/>
                <w:sz w:val="22"/>
              </w:rPr>
              <w:t>institutions)</w:t>
            </w:r>
          </w:p>
        </w:tc>
        <w:tc>
          <w:tcPr>
            <w:tcW w:w="896" w:type="dxa"/>
          </w:tcPr>
          <w:p>
            <w:pPr>
              <w:pStyle w:val="TableParagraph"/>
              <w:ind w:right="1"/>
              <w:jc w:val="center"/>
              <w:rPr>
                <w:sz w:val="22"/>
              </w:rPr>
            </w:pPr>
            <w:r>
              <w:rPr>
                <w:spacing w:val="-2"/>
                <w:sz w:val="22"/>
              </w:rPr>
              <w:t>91.70%</w:t>
            </w:r>
          </w:p>
        </w:tc>
      </w:tr>
      <w:tr>
        <w:trPr>
          <w:trHeight w:val="252" w:hRule="atLeast"/>
        </w:trPr>
        <w:tc>
          <w:tcPr>
            <w:tcW w:w="4508" w:type="dxa"/>
            <w:vMerge/>
            <w:tcBorders>
              <w:top w:val="nil"/>
            </w:tcBorders>
          </w:tcPr>
          <w:p>
            <w:pPr>
              <w:rPr>
                <w:sz w:val="2"/>
                <w:szCs w:val="2"/>
              </w:rPr>
            </w:pPr>
          </w:p>
        </w:tc>
        <w:tc>
          <w:tcPr>
            <w:tcW w:w="4561" w:type="dxa"/>
          </w:tcPr>
          <w:p>
            <w:pPr>
              <w:pStyle w:val="TableParagraph"/>
              <w:spacing w:line="232" w:lineRule="exact"/>
              <w:ind w:left="105"/>
              <w:rPr>
                <w:sz w:val="22"/>
              </w:rPr>
            </w:pPr>
            <w:r>
              <w:rPr>
                <w:sz w:val="22"/>
              </w:rPr>
              <w:t>Adoption</w:t>
            </w:r>
            <w:r>
              <w:rPr>
                <w:spacing w:val="-6"/>
                <w:sz w:val="22"/>
              </w:rPr>
              <w:t> </w:t>
            </w:r>
            <w:r>
              <w:rPr>
                <w:sz w:val="22"/>
              </w:rPr>
              <w:t>rate</w:t>
            </w:r>
            <w:r>
              <w:rPr>
                <w:spacing w:val="-6"/>
                <w:sz w:val="22"/>
              </w:rPr>
              <w:t> </w:t>
            </w:r>
            <w:r>
              <w:rPr>
                <w:sz w:val="22"/>
              </w:rPr>
              <w:t>(high-volume</w:t>
            </w:r>
            <w:r>
              <w:rPr>
                <w:spacing w:val="-5"/>
                <w:sz w:val="22"/>
              </w:rPr>
              <w:t> </w:t>
            </w:r>
            <w:r>
              <w:rPr>
                <w:spacing w:val="-2"/>
                <w:sz w:val="22"/>
              </w:rPr>
              <w:t>processors)</w:t>
            </w:r>
          </w:p>
        </w:tc>
        <w:tc>
          <w:tcPr>
            <w:tcW w:w="896" w:type="dxa"/>
          </w:tcPr>
          <w:p>
            <w:pPr>
              <w:pStyle w:val="TableParagraph"/>
              <w:spacing w:line="232" w:lineRule="exact"/>
              <w:ind w:right="1"/>
              <w:jc w:val="center"/>
              <w:rPr>
                <w:sz w:val="22"/>
              </w:rPr>
            </w:pPr>
            <w:r>
              <w:rPr>
                <w:spacing w:val="-2"/>
                <w:sz w:val="22"/>
              </w:rPr>
              <w:t>97.30%</w:t>
            </w:r>
          </w:p>
        </w:tc>
      </w:tr>
      <w:tr>
        <w:trPr>
          <w:trHeight w:val="254" w:hRule="atLeast"/>
        </w:trPr>
        <w:tc>
          <w:tcPr>
            <w:tcW w:w="4508" w:type="dxa"/>
            <w:vMerge/>
            <w:tcBorders>
              <w:top w:val="nil"/>
            </w:tcBorders>
          </w:tcPr>
          <w:p>
            <w:pPr>
              <w:rPr>
                <w:sz w:val="2"/>
                <w:szCs w:val="2"/>
              </w:rPr>
            </w:pPr>
          </w:p>
        </w:tc>
        <w:tc>
          <w:tcPr>
            <w:tcW w:w="4561" w:type="dxa"/>
          </w:tcPr>
          <w:p>
            <w:pPr>
              <w:pStyle w:val="TableParagraph"/>
              <w:ind w:left="105"/>
              <w:rPr>
                <w:sz w:val="22"/>
              </w:rPr>
            </w:pPr>
            <w:r>
              <w:rPr>
                <w:sz w:val="22"/>
              </w:rPr>
              <w:t>Payment</w:t>
            </w:r>
            <w:r>
              <w:rPr>
                <w:spacing w:val="-3"/>
                <w:sz w:val="22"/>
              </w:rPr>
              <w:t> </w:t>
            </w:r>
            <w:r>
              <w:rPr>
                <w:sz w:val="22"/>
              </w:rPr>
              <w:t>card</w:t>
            </w:r>
            <w:r>
              <w:rPr>
                <w:spacing w:val="-3"/>
                <w:sz w:val="22"/>
              </w:rPr>
              <w:t> </w:t>
            </w:r>
            <w:r>
              <w:rPr>
                <w:sz w:val="22"/>
              </w:rPr>
              <w:t>data</w:t>
            </w:r>
            <w:r>
              <w:rPr>
                <w:spacing w:val="-3"/>
                <w:sz w:val="22"/>
              </w:rPr>
              <w:t> </w:t>
            </w:r>
            <w:r>
              <w:rPr>
                <w:sz w:val="22"/>
              </w:rPr>
              <w:t>breach</w:t>
            </w:r>
            <w:r>
              <w:rPr>
                <w:spacing w:val="-2"/>
                <w:sz w:val="22"/>
              </w:rPr>
              <w:t> reduction</w:t>
            </w:r>
          </w:p>
        </w:tc>
        <w:tc>
          <w:tcPr>
            <w:tcW w:w="896" w:type="dxa"/>
          </w:tcPr>
          <w:p>
            <w:pPr>
              <w:pStyle w:val="TableParagraph"/>
              <w:ind w:right="1"/>
              <w:jc w:val="center"/>
              <w:rPr>
                <w:sz w:val="22"/>
              </w:rPr>
            </w:pPr>
            <w:r>
              <w:rPr>
                <w:spacing w:val="-2"/>
                <w:sz w:val="22"/>
              </w:rPr>
              <w:t>97.40%</w:t>
            </w:r>
          </w:p>
        </w:tc>
      </w:tr>
      <w:tr>
        <w:trPr>
          <w:trHeight w:val="506" w:hRule="atLeast"/>
        </w:trPr>
        <w:tc>
          <w:tcPr>
            <w:tcW w:w="4508" w:type="dxa"/>
            <w:vMerge/>
            <w:tcBorders>
              <w:top w:val="nil"/>
            </w:tcBorders>
          </w:tcPr>
          <w:p>
            <w:pPr>
              <w:rPr>
                <w:sz w:val="2"/>
                <w:szCs w:val="2"/>
              </w:rPr>
            </w:pPr>
          </w:p>
        </w:tc>
        <w:tc>
          <w:tcPr>
            <w:tcW w:w="4561" w:type="dxa"/>
          </w:tcPr>
          <w:p>
            <w:pPr>
              <w:pStyle w:val="TableParagraph"/>
              <w:spacing w:line="246" w:lineRule="exact"/>
              <w:ind w:left="105"/>
              <w:rPr>
                <w:sz w:val="22"/>
              </w:rPr>
            </w:pPr>
            <w:r>
              <w:rPr>
                <w:sz w:val="22"/>
              </w:rPr>
              <w:t>ROI</w:t>
            </w:r>
            <w:r>
              <w:rPr>
                <w:spacing w:val="-6"/>
                <w:sz w:val="22"/>
              </w:rPr>
              <w:t> </w:t>
            </w:r>
            <w:r>
              <w:rPr>
                <w:sz w:val="22"/>
              </w:rPr>
              <w:t>period</w:t>
            </w:r>
            <w:r>
              <w:rPr>
                <w:spacing w:val="-4"/>
                <w:sz w:val="22"/>
              </w:rPr>
              <w:t> </w:t>
            </w:r>
            <w:r>
              <w:rPr>
                <w:sz w:val="22"/>
              </w:rPr>
              <w:t>(months)</w:t>
            </w:r>
            <w:r>
              <w:rPr>
                <w:spacing w:val="-3"/>
                <w:sz w:val="22"/>
              </w:rPr>
              <w:t> </w:t>
            </w:r>
            <w:r>
              <w:rPr>
                <w:sz w:val="22"/>
              </w:rPr>
              <w:t>for</w:t>
            </w:r>
            <w:r>
              <w:rPr>
                <w:spacing w:val="-3"/>
                <w:sz w:val="22"/>
              </w:rPr>
              <w:t> </w:t>
            </w:r>
            <w:r>
              <w:rPr>
                <w:sz w:val="22"/>
              </w:rPr>
              <w:t>high-</w:t>
            </w:r>
            <w:r>
              <w:rPr>
                <w:spacing w:val="-2"/>
                <w:sz w:val="22"/>
              </w:rPr>
              <w:t>volume</w:t>
            </w:r>
          </w:p>
          <w:p>
            <w:pPr>
              <w:pStyle w:val="TableParagraph"/>
              <w:spacing w:line="240" w:lineRule="exact"/>
              <w:ind w:left="105"/>
              <w:rPr>
                <w:sz w:val="22"/>
              </w:rPr>
            </w:pPr>
            <w:r>
              <w:rPr>
                <w:spacing w:val="-2"/>
                <w:sz w:val="22"/>
              </w:rPr>
              <w:t>institutions</w:t>
            </w:r>
          </w:p>
        </w:tc>
        <w:tc>
          <w:tcPr>
            <w:tcW w:w="896" w:type="dxa"/>
          </w:tcPr>
          <w:p>
            <w:pPr>
              <w:pStyle w:val="TableParagraph"/>
              <w:spacing w:line="247" w:lineRule="exact"/>
              <w:ind w:right="2"/>
              <w:jc w:val="center"/>
              <w:rPr>
                <w:sz w:val="22"/>
              </w:rPr>
            </w:pPr>
            <w:r>
              <w:rPr>
                <w:spacing w:val="-5"/>
                <w:sz w:val="22"/>
              </w:rPr>
              <w:t>9.7</w:t>
            </w:r>
          </w:p>
        </w:tc>
      </w:tr>
      <w:tr>
        <w:trPr>
          <w:trHeight w:val="251" w:hRule="atLeast"/>
        </w:trPr>
        <w:tc>
          <w:tcPr>
            <w:tcW w:w="4508" w:type="dxa"/>
            <w:vMerge w:val="restart"/>
          </w:tcPr>
          <w:p>
            <w:pPr>
              <w:pStyle w:val="TableParagraph"/>
              <w:spacing w:line="247" w:lineRule="exact"/>
              <w:ind w:left="107"/>
              <w:rPr>
                <w:sz w:val="22"/>
              </w:rPr>
            </w:pPr>
            <w:r>
              <w:rPr>
                <w:sz w:val="22"/>
              </w:rPr>
              <w:t>Aggregated</w:t>
            </w:r>
            <w:r>
              <w:rPr>
                <w:spacing w:val="-6"/>
                <w:sz w:val="22"/>
              </w:rPr>
              <w:t> </w:t>
            </w:r>
            <w:r>
              <w:rPr>
                <w:spacing w:val="-2"/>
                <w:sz w:val="22"/>
              </w:rPr>
              <w:t>Anonymization</w:t>
            </w:r>
          </w:p>
        </w:tc>
        <w:tc>
          <w:tcPr>
            <w:tcW w:w="4561" w:type="dxa"/>
          </w:tcPr>
          <w:p>
            <w:pPr>
              <w:pStyle w:val="TableParagraph"/>
              <w:spacing w:line="232" w:lineRule="exact"/>
              <w:ind w:left="105"/>
              <w:rPr>
                <w:sz w:val="22"/>
              </w:rPr>
            </w:pPr>
            <w:r>
              <w:rPr>
                <w:sz w:val="22"/>
              </w:rPr>
              <w:t>Adoption</w:t>
            </w:r>
            <w:r>
              <w:rPr>
                <w:spacing w:val="-6"/>
                <w:sz w:val="22"/>
              </w:rPr>
              <w:t> </w:t>
            </w:r>
            <w:r>
              <w:rPr>
                <w:spacing w:val="-4"/>
                <w:sz w:val="22"/>
              </w:rPr>
              <w:t>rate</w:t>
            </w:r>
          </w:p>
        </w:tc>
        <w:tc>
          <w:tcPr>
            <w:tcW w:w="896" w:type="dxa"/>
          </w:tcPr>
          <w:p>
            <w:pPr>
              <w:pStyle w:val="TableParagraph"/>
              <w:spacing w:line="232" w:lineRule="exact"/>
              <w:ind w:right="1"/>
              <w:jc w:val="center"/>
              <w:rPr>
                <w:sz w:val="22"/>
              </w:rPr>
            </w:pPr>
            <w:r>
              <w:rPr>
                <w:spacing w:val="-2"/>
                <w:sz w:val="22"/>
              </w:rPr>
              <w:t>83.20%</w:t>
            </w:r>
          </w:p>
        </w:tc>
      </w:tr>
      <w:tr>
        <w:trPr>
          <w:trHeight w:val="254" w:hRule="atLeast"/>
        </w:trPr>
        <w:tc>
          <w:tcPr>
            <w:tcW w:w="4508" w:type="dxa"/>
            <w:vMerge/>
            <w:tcBorders>
              <w:top w:val="nil"/>
            </w:tcBorders>
          </w:tcPr>
          <w:p>
            <w:pPr>
              <w:rPr>
                <w:sz w:val="2"/>
                <w:szCs w:val="2"/>
              </w:rPr>
            </w:pPr>
          </w:p>
        </w:tc>
        <w:tc>
          <w:tcPr>
            <w:tcW w:w="4561" w:type="dxa"/>
          </w:tcPr>
          <w:p>
            <w:pPr>
              <w:pStyle w:val="TableParagraph"/>
              <w:ind w:left="105"/>
              <w:rPr>
                <w:sz w:val="22"/>
              </w:rPr>
            </w:pPr>
            <w:r>
              <w:rPr>
                <w:sz w:val="22"/>
              </w:rPr>
              <w:t>Privacy</w:t>
            </w:r>
            <w:r>
              <w:rPr>
                <w:spacing w:val="-7"/>
                <w:sz w:val="22"/>
              </w:rPr>
              <w:t> </w:t>
            </w:r>
            <w:r>
              <w:rPr>
                <w:sz w:val="22"/>
              </w:rPr>
              <w:t>violation</w:t>
            </w:r>
            <w:r>
              <w:rPr>
                <w:spacing w:val="-6"/>
                <w:sz w:val="22"/>
              </w:rPr>
              <w:t> </w:t>
            </w:r>
            <w:r>
              <w:rPr>
                <w:spacing w:val="-2"/>
                <w:sz w:val="22"/>
              </w:rPr>
              <w:t>reduction</w:t>
            </w:r>
          </w:p>
        </w:tc>
        <w:tc>
          <w:tcPr>
            <w:tcW w:w="896" w:type="dxa"/>
          </w:tcPr>
          <w:p>
            <w:pPr>
              <w:pStyle w:val="TableParagraph"/>
              <w:ind w:right="1"/>
              <w:jc w:val="center"/>
              <w:rPr>
                <w:sz w:val="22"/>
              </w:rPr>
            </w:pPr>
            <w:r>
              <w:rPr>
                <w:spacing w:val="-2"/>
                <w:sz w:val="22"/>
              </w:rPr>
              <w:t>93.70%</w:t>
            </w:r>
          </w:p>
        </w:tc>
      </w:tr>
      <w:tr>
        <w:trPr>
          <w:trHeight w:val="251" w:hRule="atLeast"/>
        </w:trPr>
        <w:tc>
          <w:tcPr>
            <w:tcW w:w="4508" w:type="dxa"/>
            <w:vMerge/>
            <w:tcBorders>
              <w:top w:val="nil"/>
            </w:tcBorders>
          </w:tcPr>
          <w:p>
            <w:pPr>
              <w:rPr>
                <w:sz w:val="2"/>
                <w:szCs w:val="2"/>
              </w:rPr>
            </w:pPr>
          </w:p>
        </w:tc>
        <w:tc>
          <w:tcPr>
            <w:tcW w:w="4561" w:type="dxa"/>
          </w:tcPr>
          <w:p>
            <w:pPr>
              <w:pStyle w:val="TableParagraph"/>
              <w:spacing w:line="232" w:lineRule="exact"/>
              <w:ind w:left="105"/>
              <w:rPr>
                <w:sz w:val="22"/>
              </w:rPr>
            </w:pPr>
            <w:r>
              <w:rPr>
                <w:sz w:val="22"/>
              </w:rPr>
              <w:t>Regulatory</w:t>
            </w:r>
            <w:r>
              <w:rPr>
                <w:spacing w:val="-8"/>
                <w:sz w:val="22"/>
              </w:rPr>
              <w:t> </w:t>
            </w:r>
            <w:r>
              <w:rPr>
                <w:sz w:val="22"/>
              </w:rPr>
              <w:t>report</w:t>
            </w:r>
            <w:r>
              <w:rPr>
                <w:spacing w:val="-4"/>
                <w:sz w:val="22"/>
              </w:rPr>
              <w:t> </w:t>
            </w:r>
            <w:r>
              <w:rPr>
                <w:sz w:val="22"/>
              </w:rPr>
              <w:t>preparation</w:t>
            </w:r>
            <w:r>
              <w:rPr>
                <w:spacing w:val="-3"/>
                <w:sz w:val="22"/>
              </w:rPr>
              <w:t> </w:t>
            </w:r>
            <w:r>
              <w:rPr>
                <w:spacing w:val="-2"/>
                <w:sz w:val="22"/>
              </w:rPr>
              <w:t>improvement</w:t>
            </w:r>
          </w:p>
        </w:tc>
        <w:tc>
          <w:tcPr>
            <w:tcW w:w="896" w:type="dxa"/>
          </w:tcPr>
          <w:p>
            <w:pPr>
              <w:pStyle w:val="TableParagraph"/>
              <w:spacing w:line="232" w:lineRule="exact"/>
              <w:ind w:right="1"/>
              <w:jc w:val="center"/>
              <w:rPr>
                <w:sz w:val="22"/>
              </w:rPr>
            </w:pPr>
            <w:r>
              <w:rPr>
                <w:spacing w:val="-2"/>
                <w:sz w:val="22"/>
              </w:rPr>
              <w:t>47.30%</w:t>
            </w:r>
          </w:p>
        </w:tc>
      </w:tr>
      <w:tr>
        <w:trPr>
          <w:trHeight w:val="254" w:hRule="atLeast"/>
        </w:trPr>
        <w:tc>
          <w:tcPr>
            <w:tcW w:w="4508" w:type="dxa"/>
            <w:vMerge w:val="restart"/>
          </w:tcPr>
          <w:p>
            <w:pPr>
              <w:pStyle w:val="TableParagraph"/>
              <w:spacing w:line="249" w:lineRule="exact"/>
              <w:ind w:left="107"/>
              <w:rPr>
                <w:sz w:val="22"/>
              </w:rPr>
            </w:pPr>
            <w:r>
              <w:rPr>
                <w:sz w:val="22"/>
              </w:rPr>
              <w:t>Jurisdictional</w:t>
            </w:r>
            <w:r>
              <w:rPr>
                <w:spacing w:val="-7"/>
                <w:sz w:val="22"/>
              </w:rPr>
              <w:t> </w:t>
            </w:r>
            <w:r>
              <w:rPr>
                <w:sz w:val="22"/>
              </w:rPr>
              <w:t>Data</w:t>
            </w:r>
            <w:r>
              <w:rPr>
                <w:spacing w:val="-8"/>
                <w:sz w:val="22"/>
              </w:rPr>
              <w:t> </w:t>
            </w:r>
            <w:r>
              <w:rPr>
                <w:spacing w:val="-2"/>
                <w:sz w:val="22"/>
              </w:rPr>
              <w:t>Transformation</w:t>
            </w:r>
          </w:p>
        </w:tc>
        <w:tc>
          <w:tcPr>
            <w:tcW w:w="4561" w:type="dxa"/>
          </w:tcPr>
          <w:p>
            <w:pPr>
              <w:pStyle w:val="TableParagraph"/>
              <w:ind w:left="105"/>
              <w:rPr>
                <w:sz w:val="22"/>
              </w:rPr>
            </w:pPr>
            <w:r>
              <w:rPr>
                <w:sz w:val="22"/>
              </w:rPr>
              <w:t>Adoption</w:t>
            </w:r>
            <w:r>
              <w:rPr>
                <w:spacing w:val="-7"/>
                <w:sz w:val="22"/>
              </w:rPr>
              <w:t> </w:t>
            </w:r>
            <w:r>
              <w:rPr>
                <w:sz w:val="22"/>
              </w:rPr>
              <w:t>rate</w:t>
            </w:r>
            <w:r>
              <w:rPr>
                <w:spacing w:val="-7"/>
                <w:sz w:val="22"/>
              </w:rPr>
              <w:t> </w:t>
            </w:r>
            <w:r>
              <w:rPr>
                <w:sz w:val="22"/>
              </w:rPr>
              <w:t>(multinational</w:t>
            </w:r>
            <w:r>
              <w:rPr>
                <w:spacing w:val="-5"/>
                <w:sz w:val="22"/>
              </w:rPr>
              <w:t> </w:t>
            </w:r>
            <w:r>
              <w:rPr>
                <w:spacing w:val="-2"/>
                <w:sz w:val="22"/>
              </w:rPr>
              <w:t>institutions)</w:t>
            </w:r>
          </w:p>
        </w:tc>
        <w:tc>
          <w:tcPr>
            <w:tcW w:w="896" w:type="dxa"/>
          </w:tcPr>
          <w:p>
            <w:pPr>
              <w:pStyle w:val="TableParagraph"/>
              <w:ind w:right="1"/>
              <w:jc w:val="center"/>
              <w:rPr>
                <w:sz w:val="22"/>
              </w:rPr>
            </w:pPr>
            <w:r>
              <w:rPr>
                <w:spacing w:val="-2"/>
                <w:sz w:val="22"/>
              </w:rPr>
              <w:t>78.40%</w:t>
            </w:r>
          </w:p>
        </w:tc>
      </w:tr>
      <w:tr>
        <w:trPr>
          <w:trHeight w:val="253" w:hRule="atLeast"/>
        </w:trPr>
        <w:tc>
          <w:tcPr>
            <w:tcW w:w="4508" w:type="dxa"/>
            <w:vMerge/>
            <w:tcBorders>
              <w:top w:val="nil"/>
            </w:tcBorders>
          </w:tcPr>
          <w:p>
            <w:pPr>
              <w:rPr>
                <w:sz w:val="2"/>
                <w:szCs w:val="2"/>
              </w:rPr>
            </w:pPr>
          </w:p>
        </w:tc>
        <w:tc>
          <w:tcPr>
            <w:tcW w:w="4561" w:type="dxa"/>
          </w:tcPr>
          <w:p>
            <w:pPr>
              <w:pStyle w:val="TableParagraph"/>
              <w:ind w:left="105"/>
              <w:rPr>
                <w:sz w:val="22"/>
              </w:rPr>
            </w:pPr>
            <w:r>
              <w:rPr>
                <w:sz w:val="22"/>
              </w:rPr>
              <w:t>Cross-border</w:t>
            </w:r>
            <w:r>
              <w:rPr>
                <w:spacing w:val="-8"/>
                <w:sz w:val="22"/>
              </w:rPr>
              <w:t> </w:t>
            </w:r>
            <w:r>
              <w:rPr>
                <w:sz w:val="22"/>
              </w:rPr>
              <w:t>compliance</w:t>
            </w:r>
            <w:r>
              <w:rPr>
                <w:spacing w:val="-6"/>
                <w:sz w:val="22"/>
              </w:rPr>
              <w:t> </w:t>
            </w:r>
            <w:r>
              <w:rPr>
                <w:sz w:val="22"/>
              </w:rPr>
              <w:t>violation</w:t>
            </w:r>
            <w:r>
              <w:rPr>
                <w:spacing w:val="-8"/>
                <w:sz w:val="22"/>
              </w:rPr>
              <w:t> </w:t>
            </w:r>
            <w:r>
              <w:rPr>
                <w:spacing w:val="-2"/>
                <w:sz w:val="22"/>
              </w:rPr>
              <w:t>reduction</w:t>
            </w:r>
          </w:p>
        </w:tc>
        <w:tc>
          <w:tcPr>
            <w:tcW w:w="896" w:type="dxa"/>
          </w:tcPr>
          <w:p>
            <w:pPr>
              <w:pStyle w:val="TableParagraph"/>
              <w:ind w:right="1"/>
              <w:jc w:val="center"/>
              <w:rPr>
                <w:sz w:val="22"/>
              </w:rPr>
            </w:pPr>
            <w:r>
              <w:rPr>
                <w:spacing w:val="-2"/>
                <w:sz w:val="22"/>
              </w:rPr>
              <w:t>87.60%</w:t>
            </w:r>
          </w:p>
        </w:tc>
      </w:tr>
      <w:tr>
        <w:trPr>
          <w:trHeight w:val="251" w:hRule="atLeast"/>
        </w:trPr>
        <w:tc>
          <w:tcPr>
            <w:tcW w:w="4508" w:type="dxa"/>
            <w:vMerge/>
            <w:tcBorders>
              <w:top w:val="nil"/>
            </w:tcBorders>
          </w:tcPr>
          <w:p>
            <w:pPr>
              <w:rPr>
                <w:sz w:val="2"/>
                <w:szCs w:val="2"/>
              </w:rPr>
            </w:pPr>
          </w:p>
        </w:tc>
        <w:tc>
          <w:tcPr>
            <w:tcW w:w="4561" w:type="dxa"/>
          </w:tcPr>
          <w:p>
            <w:pPr>
              <w:pStyle w:val="TableParagraph"/>
              <w:spacing w:line="232" w:lineRule="exact"/>
              <w:ind w:left="105"/>
              <w:rPr>
                <w:sz w:val="22"/>
              </w:rPr>
            </w:pPr>
            <w:r>
              <w:rPr>
                <w:sz w:val="22"/>
              </w:rPr>
              <w:t>Transaction</w:t>
            </w:r>
            <w:r>
              <w:rPr>
                <w:spacing w:val="-7"/>
                <w:sz w:val="22"/>
              </w:rPr>
              <w:t> </w:t>
            </w:r>
            <w:r>
              <w:rPr>
                <w:sz w:val="22"/>
              </w:rPr>
              <w:t>processing</w:t>
            </w:r>
            <w:r>
              <w:rPr>
                <w:spacing w:val="-7"/>
                <w:sz w:val="22"/>
              </w:rPr>
              <w:t> </w:t>
            </w:r>
            <w:r>
              <w:rPr>
                <w:sz w:val="22"/>
              </w:rPr>
              <w:t>speed</w:t>
            </w:r>
            <w:r>
              <w:rPr>
                <w:spacing w:val="-3"/>
                <w:sz w:val="22"/>
              </w:rPr>
              <w:t> </w:t>
            </w:r>
            <w:r>
              <w:rPr>
                <w:spacing w:val="-2"/>
                <w:sz w:val="22"/>
              </w:rPr>
              <w:t>improvement</w:t>
            </w:r>
          </w:p>
        </w:tc>
        <w:tc>
          <w:tcPr>
            <w:tcW w:w="896" w:type="dxa"/>
          </w:tcPr>
          <w:p>
            <w:pPr>
              <w:pStyle w:val="TableParagraph"/>
              <w:spacing w:line="232" w:lineRule="exact"/>
              <w:ind w:right="1"/>
              <w:jc w:val="center"/>
              <w:rPr>
                <w:sz w:val="22"/>
              </w:rPr>
            </w:pPr>
            <w:r>
              <w:rPr>
                <w:spacing w:val="-2"/>
                <w:sz w:val="22"/>
              </w:rPr>
              <w:t>62.30%</w:t>
            </w:r>
          </w:p>
        </w:tc>
      </w:tr>
    </w:tbl>
    <w:p>
      <w:pPr>
        <w:pStyle w:val="BodyText"/>
        <w:spacing w:before="1"/>
        <w:ind w:left="0"/>
        <w:jc w:val="left"/>
        <w:rPr>
          <w:sz w:val="6"/>
        </w:rPr>
      </w:pPr>
    </w:p>
    <w:p>
      <w:pPr>
        <w:pStyle w:val="BodyText"/>
        <w:spacing w:after="0"/>
        <w:jc w:val="left"/>
        <w:rPr>
          <w:sz w:val="6"/>
        </w:rPr>
        <w:sectPr>
          <w:type w:val="continuous"/>
          <w:pgSz w:w="11910" w:h="16840"/>
          <w:pgMar w:header="1025" w:footer="1033" w:top="440" w:bottom="1220" w:left="850" w:right="850"/>
        </w:sectPr>
      </w:pPr>
    </w:p>
    <w:p>
      <w:pPr>
        <w:pStyle w:val="Heading2"/>
        <w:spacing w:line="316" w:lineRule="exact" w:before="49"/>
        <w:jc w:val="left"/>
      </w:pPr>
      <w:r>
        <w:rPr>
          <w:color w:val="4F81BC"/>
          <w:spacing w:val="-2"/>
        </w:rPr>
        <w:t>CONCLUSION</w:t>
      </w:r>
    </w:p>
    <w:p>
      <w:pPr>
        <w:pStyle w:val="BodyText"/>
        <w:ind w:right="38"/>
      </w:pPr>
      <w:r>
        <w:rPr/>
        <w:t>Secure data flow patterns in financial integration architectures represent essential frameworks for organizations navigating increasingly complex technology landscapes while facing heightened security threats. The evidence demonstrates that architectural decisions fundamentally shape security outcomes, with hybrid approaches balancing the performance advantages of point-to- point connections with the security benefits of centralized control. Dominant changes towards domain-specific architecture enable special safety controls that address the unique requirements of various financial functions while reducing the phenomenon rates. Data safety strategies have developed beyond basic encryption towards</w:t>
      </w:r>
      <w:r>
        <w:rPr>
          <w:spacing w:val="40"/>
        </w:rPr>
        <w:t> </w:t>
      </w:r>
      <w:r>
        <w:rPr/>
        <w:t>refined approaches, including tokens, field-level masking, and format-preservation techniques, maintaining operating efficiency by dramatically reducing violation effects. Transport safety has moved towards multi-level rescue in the same</w:t>
      </w:r>
      <w:r>
        <w:rPr>
          <w:spacing w:val="80"/>
        </w:rPr>
        <w:t> </w:t>
      </w:r>
      <w:r>
        <w:rPr/>
        <w:t>way, which includes mutual authentication and a standardized API regime that addresses the unique threats facing financial integration. The implementation patterns</w:t>
      </w:r>
      <w:r>
        <w:rPr>
          <w:spacing w:val="-2"/>
        </w:rPr>
        <w:t> </w:t>
      </w:r>
      <w:r>
        <w:rPr/>
        <w:t>documented across</w:t>
      </w:r>
      <w:r>
        <w:rPr>
          <w:spacing w:val="-1"/>
        </w:rPr>
        <w:t> </w:t>
      </w:r>
      <w:r>
        <w:rPr/>
        <w:t>CRM- to-ERP integrations, payment processing, regulatory reporting, and cross-border transfers provide validated frameworks that financial institutions can adapt to their specific environments. These patterns provide quantitative security</w:t>
      </w:r>
      <w:r>
        <w:rPr>
          <w:spacing w:val="20"/>
        </w:rPr>
        <w:t> </w:t>
      </w:r>
      <w:r>
        <w:rPr/>
        <w:t>reforms,</w:t>
      </w:r>
      <w:r>
        <w:rPr>
          <w:spacing w:val="22"/>
        </w:rPr>
        <w:t> </w:t>
      </w:r>
      <w:r>
        <w:rPr/>
        <w:t>enabling</w:t>
      </w:r>
      <w:r>
        <w:rPr>
          <w:spacing w:val="21"/>
        </w:rPr>
        <w:t> </w:t>
      </w:r>
      <w:r>
        <w:rPr/>
        <w:t>the</w:t>
      </w:r>
      <w:r>
        <w:rPr>
          <w:spacing w:val="22"/>
        </w:rPr>
        <w:t> </w:t>
      </w:r>
      <w:r>
        <w:rPr/>
        <w:t>necessary</w:t>
      </w:r>
      <w:r>
        <w:rPr>
          <w:spacing w:val="21"/>
        </w:rPr>
        <w:t> </w:t>
      </w:r>
      <w:r>
        <w:rPr>
          <w:spacing w:val="-2"/>
        </w:rPr>
        <w:t>technical</w:t>
      </w:r>
    </w:p>
    <w:p>
      <w:pPr>
        <w:pStyle w:val="BodyText"/>
        <w:spacing w:before="69"/>
        <w:ind w:right="226"/>
      </w:pPr>
      <w:r>
        <w:rPr/>
        <w:br w:type="column"/>
      </w:r>
      <w:r>
        <w:rPr/>
        <w:t>agility in modern financial services. Since the financial ecosystem develops towards embedded finance, open banking, and real-time processing, the secure integration patterns installed today will form a foundation for the next generation of financial technology innovation, balancing safety mandates with commercial agility in a rapidly interconnected world.</w:t>
      </w:r>
    </w:p>
    <w:p>
      <w:pPr>
        <w:pStyle w:val="Heading2"/>
        <w:spacing w:line="316" w:lineRule="exact" w:before="119"/>
        <w:jc w:val="left"/>
      </w:pPr>
      <w:r>
        <w:rPr>
          <w:color w:val="4F81BC"/>
          <w:spacing w:val="-2"/>
        </w:rPr>
        <w:t>REFERENCES</w:t>
      </w:r>
    </w:p>
    <w:p>
      <w:pPr>
        <w:pStyle w:val="ListParagraph"/>
        <w:numPr>
          <w:ilvl w:val="0"/>
          <w:numId w:val="1"/>
        </w:numPr>
        <w:tabs>
          <w:tab w:pos="590" w:val="left" w:leader="none"/>
          <w:tab w:pos="2349" w:val="left" w:leader="none"/>
          <w:tab w:pos="3618" w:val="left" w:leader="none"/>
        </w:tabs>
        <w:spacing w:line="240" w:lineRule="auto" w:before="0" w:after="0"/>
        <w:ind w:left="590" w:right="224" w:hanging="360"/>
        <w:jc w:val="both"/>
        <w:rPr>
          <w:sz w:val="22"/>
        </w:rPr>
      </w:pPr>
      <w:r>
        <w:rPr>
          <w:sz w:val="22"/>
        </w:rPr>
        <w:t>Gos, M. &amp; Spiridon, S. "Embedded Finance Architecture and Integration: An In-Depth </w:t>
      </w:r>
      <w:r>
        <w:rPr>
          <w:spacing w:val="-2"/>
          <w:sz w:val="22"/>
        </w:rPr>
        <w:t>Guide."</w:t>
      </w:r>
      <w:r>
        <w:rPr>
          <w:sz w:val="22"/>
        </w:rPr>
        <w:tab/>
      </w:r>
      <w:r>
        <w:rPr>
          <w:i/>
          <w:spacing w:val="-6"/>
          <w:sz w:val="22"/>
        </w:rPr>
        <w:t>IT</w:t>
      </w:r>
      <w:r>
        <w:rPr>
          <w:i/>
          <w:sz w:val="22"/>
        </w:rPr>
        <w:tab/>
      </w:r>
      <w:r>
        <w:rPr>
          <w:i/>
          <w:spacing w:val="-2"/>
          <w:sz w:val="22"/>
        </w:rPr>
        <w:t>Imagination, </w:t>
      </w:r>
      <w:hyperlink r:id="rId10">
        <w:r>
          <w:rPr>
            <w:color w:val="1154CC"/>
            <w:spacing w:val="-2"/>
            <w:sz w:val="22"/>
            <w:u w:val="single" w:color="1154CC"/>
          </w:rPr>
          <w:t>https://www.itmagination.com/blog/embedded</w:t>
        </w:r>
      </w:hyperlink>
    </w:p>
    <w:p>
      <w:pPr>
        <w:pStyle w:val="BodyText"/>
        <w:ind w:left="590"/>
        <w:jc w:val="left"/>
      </w:pPr>
      <w:hyperlink r:id="rId10">
        <w:r>
          <w:rPr>
            <w:color w:val="1154CC"/>
            <w:spacing w:val="-2"/>
            <w:u w:val="single" w:color="1154CC"/>
          </w:rPr>
          <w:t>-finance-architecture-and-integration-in-depth-</w:t>
        </w:r>
      </w:hyperlink>
      <w:r>
        <w:rPr>
          <w:color w:val="1154CC"/>
          <w:spacing w:val="-2"/>
        </w:rPr>
        <w:t> </w:t>
      </w:r>
      <w:hyperlink r:id="rId10">
        <w:r>
          <w:rPr>
            <w:color w:val="1154CC"/>
            <w:spacing w:val="-2"/>
            <w:u w:val="single" w:color="1154CC"/>
          </w:rPr>
          <w:t>guide</w:t>
        </w:r>
      </w:hyperlink>
    </w:p>
    <w:p>
      <w:pPr>
        <w:pStyle w:val="ListParagraph"/>
        <w:numPr>
          <w:ilvl w:val="0"/>
          <w:numId w:val="1"/>
        </w:numPr>
        <w:tabs>
          <w:tab w:pos="590" w:val="left" w:leader="none"/>
          <w:tab w:pos="2358" w:val="left" w:leader="none"/>
          <w:tab w:pos="4105" w:val="left" w:leader="none"/>
        </w:tabs>
        <w:spacing w:line="240" w:lineRule="auto" w:before="0" w:after="0"/>
        <w:ind w:left="590" w:right="225" w:hanging="360"/>
        <w:jc w:val="left"/>
        <w:rPr>
          <w:sz w:val="22"/>
        </w:rPr>
      </w:pPr>
      <w:r>
        <w:rPr>
          <w:sz w:val="22"/>
        </w:rPr>
        <w:t>Finastra,</w:t>
      </w:r>
      <w:r>
        <w:rPr>
          <w:spacing w:val="80"/>
          <w:sz w:val="22"/>
        </w:rPr>
        <w:t> </w:t>
      </w:r>
      <w:r>
        <w:rPr>
          <w:sz w:val="22"/>
        </w:rPr>
        <w:t>"Financial</w:t>
      </w:r>
      <w:r>
        <w:rPr>
          <w:spacing w:val="80"/>
          <w:sz w:val="22"/>
        </w:rPr>
        <w:t> </w:t>
      </w:r>
      <w:r>
        <w:rPr>
          <w:sz w:val="22"/>
        </w:rPr>
        <w:t>Services</w:t>
      </w:r>
      <w:r>
        <w:rPr>
          <w:spacing w:val="80"/>
          <w:sz w:val="22"/>
        </w:rPr>
        <w:t> </w:t>
      </w:r>
      <w:r>
        <w:rPr>
          <w:sz w:val="22"/>
        </w:rPr>
        <w:t>State</w:t>
      </w:r>
      <w:r>
        <w:rPr>
          <w:spacing w:val="80"/>
          <w:sz w:val="22"/>
        </w:rPr>
        <w:t> </w:t>
      </w:r>
      <w:r>
        <w:rPr>
          <w:sz w:val="22"/>
        </w:rPr>
        <w:t>of</w:t>
      </w:r>
      <w:r>
        <w:rPr>
          <w:spacing w:val="80"/>
          <w:sz w:val="22"/>
        </w:rPr>
        <w:t> </w:t>
      </w:r>
      <w:r>
        <w:rPr>
          <w:sz w:val="22"/>
        </w:rPr>
        <w:t>the </w:t>
      </w:r>
      <w:r>
        <w:rPr>
          <w:spacing w:val="-2"/>
          <w:sz w:val="22"/>
        </w:rPr>
        <w:t>Nation</w:t>
      </w:r>
      <w:r>
        <w:rPr>
          <w:sz w:val="22"/>
        </w:rPr>
        <w:tab/>
      </w:r>
      <w:r>
        <w:rPr>
          <w:spacing w:val="-2"/>
          <w:sz w:val="22"/>
        </w:rPr>
        <w:t>2024,"</w:t>
      </w:r>
      <w:r>
        <w:rPr>
          <w:sz w:val="22"/>
        </w:rPr>
        <w:tab/>
      </w:r>
      <w:r>
        <w:rPr>
          <w:spacing w:val="-2"/>
          <w:sz w:val="22"/>
        </w:rPr>
        <w:t>(2025).</w:t>
      </w:r>
    </w:p>
    <w:p>
      <w:pPr>
        <w:pStyle w:val="BodyText"/>
        <w:spacing w:line="251" w:lineRule="exact"/>
        <w:ind w:left="590"/>
        <w:jc w:val="left"/>
      </w:pPr>
      <w:hyperlink r:id="rId11">
        <w:r>
          <w:rPr>
            <w:color w:val="1154CC"/>
            <w:spacing w:val="-2"/>
            <w:u w:val="single" w:color="1154CC"/>
          </w:rPr>
          <w:t>https://www.finastra.com/sites/default/files/file</w:t>
        </w:r>
      </w:hyperlink>
    </w:p>
    <w:p>
      <w:pPr>
        <w:pStyle w:val="BodyText"/>
        <w:spacing w:line="252" w:lineRule="exact"/>
        <w:ind w:left="590"/>
        <w:jc w:val="left"/>
      </w:pPr>
      <w:hyperlink r:id="rId11">
        <w:r>
          <w:rPr>
            <w:color w:val="1154CC"/>
            <w:spacing w:val="-2"/>
            <w:u w:val="single" w:color="1154CC"/>
          </w:rPr>
          <w:t>/2025-02/state-of-the-nation-report-2024.pdf</w:t>
        </w:r>
      </w:hyperlink>
    </w:p>
    <w:p>
      <w:pPr>
        <w:pStyle w:val="ListParagraph"/>
        <w:numPr>
          <w:ilvl w:val="0"/>
          <w:numId w:val="1"/>
        </w:numPr>
        <w:tabs>
          <w:tab w:pos="589" w:val="left" w:leader="none"/>
        </w:tabs>
        <w:spacing w:line="252" w:lineRule="exact" w:before="0" w:after="0"/>
        <w:ind w:left="589" w:right="0" w:hanging="359"/>
        <w:jc w:val="both"/>
        <w:rPr>
          <w:sz w:val="22"/>
        </w:rPr>
      </w:pPr>
      <w:r>
        <w:rPr>
          <w:color w:val="212121"/>
          <w:sz w:val="22"/>
        </w:rPr>
        <w:t>Vuković,</w:t>
      </w:r>
      <w:r>
        <w:rPr>
          <w:color w:val="212121"/>
          <w:spacing w:val="26"/>
          <w:sz w:val="22"/>
        </w:rPr>
        <w:t> </w:t>
      </w:r>
      <w:r>
        <w:rPr>
          <w:color w:val="212121"/>
          <w:sz w:val="22"/>
        </w:rPr>
        <w:t>D.</w:t>
      </w:r>
      <w:r>
        <w:rPr>
          <w:color w:val="212121"/>
          <w:spacing w:val="26"/>
          <w:sz w:val="22"/>
        </w:rPr>
        <w:t> </w:t>
      </w:r>
      <w:r>
        <w:rPr>
          <w:color w:val="212121"/>
          <w:sz w:val="22"/>
        </w:rPr>
        <w:t>B.,</w:t>
      </w:r>
      <w:r>
        <w:rPr>
          <w:color w:val="212121"/>
          <w:spacing w:val="26"/>
          <w:sz w:val="22"/>
        </w:rPr>
        <w:t> </w:t>
      </w:r>
      <w:r>
        <w:rPr>
          <w:color w:val="212121"/>
          <w:sz w:val="22"/>
        </w:rPr>
        <w:t>Dekpo-Adza,</w:t>
      </w:r>
      <w:r>
        <w:rPr>
          <w:color w:val="212121"/>
          <w:spacing w:val="27"/>
          <w:sz w:val="22"/>
        </w:rPr>
        <w:t> </w:t>
      </w:r>
      <w:r>
        <w:rPr>
          <w:color w:val="212121"/>
          <w:sz w:val="22"/>
        </w:rPr>
        <w:t>S.,</w:t>
      </w:r>
      <w:r>
        <w:rPr>
          <w:color w:val="212121"/>
          <w:spacing w:val="26"/>
          <w:sz w:val="22"/>
        </w:rPr>
        <w:t> </w:t>
      </w:r>
      <w:r>
        <w:rPr>
          <w:color w:val="212121"/>
          <w:sz w:val="22"/>
        </w:rPr>
        <w:t>&amp;</w:t>
      </w:r>
      <w:r>
        <w:rPr>
          <w:color w:val="212121"/>
          <w:spacing w:val="25"/>
          <w:sz w:val="22"/>
        </w:rPr>
        <w:t> </w:t>
      </w:r>
      <w:r>
        <w:rPr>
          <w:color w:val="212121"/>
          <w:spacing w:val="-2"/>
          <w:sz w:val="22"/>
        </w:rPr>
        <w:t>Matović,</w:t>
      </w:r>
    </w:p>
    <w:p>
      <w:pPr>
        <w:spacing w:before="0"/>
        <w:ind w:left="590" w:right="226" w:firstLine="0"/>
        <w:jc w:val="both"/>
        <w:rPr>
          <w:sz w:val="22"/>
        </w:rPr>
      </w:pPr>
      <w:r>
        <w:rPr>
          <w:color w:val="212121"/>
          <w:sz w:val="22"/>
        </w:rPr>
        <w:t>S. "AI integration in financial services: a systematic review of trends and regulatory challenges."</w:t>
      </w:r>
      <w:r>
        <w:rPr>
          <w:color w:val="212121"/>
          <w:spacing w:val="-3"/>
          <w:sz w:val="22"/>
        </w:rPr>
        <w:t> </w:t>
      </w:r>
      <w:r>
        <w:rPr>
          <w:i/>
          <w:color w:val="212121"/>
          <w:sz w:val="22"/>
        </w:rPr>
        <w:t>Humanities and Social Sciences Communications </w:t>
      </w:r>
      <w:r>
        <w:rPr>
          <w:color w:val="212121"/>
          <w:sz w:val="22"/>
        </w:rPr>
        <w:t>12.1 (2025): 1-29.</w:t>
      </w:r>
    </w:p>
    <w:p>
      <w:pPr>
        <w:pStyle w:val="ListParagraph"/>
        <w:numPr>
          <w:ilvl w:val="0"/>
          <w:numId w:val="1"/>
        </w:numPr>
        <w:tabs>
          <w:tab w:pos="590" w:val="left" w:leader="none"/>
        </w:tabs>
        <w:spacing w:line="240" w:lineRule="auto" w:before="0" w:after="0"/>
        <w:ind w:left="590" w:right="224" w:hanging="360"/>
        <w:jc w:val="both"/>
        <w:rPr>
          <w:sz w:val="22"/>
        </w:rPr>
      </w:pPr>
      <w:r>
        <w:rPr>
          <w:color w:val="212121"/>
          <w:sz w:val="22"/>
        </w:rPr>
        <w:t>Alhozaimy, S., &amp; Menascé, D. A. "A formal analysis of performance-security tradeoffs under frequent task reconfigurations."</w:t>
      </w:r>
      <w:r>
        <w:rPr>
          <w:color w:val="212121"/>
          <w:spacing w:val="-2"/>
          <w:sz w:val="22"/>
        </w:rPr>
        <w:t> </w:t>
      </w:r>
      <w:r>
        <w:rPr>
          <w:i/>
          <w:color w:val="212121"/>
          <w:sz w:val="22"/>
        </w:rPr>
        <w:t>Future Generation</w:t>
      </w:r>
      <w:r>
        <w:rPr>
          <w:i/>
          <w:color w:val="212121"/>
          <w:spacing w:val="80"/>
          <w:sz w:val="22"/>
        </w:rPr>
        <w:t> </w:t>
      </w:r>
      <w:r>
        <w:rPr>
          <w:i/>
          <w:color w:val="212121"/>
          <w:sz w:val="22"/>
        </w:rPr>
        <w:t>Computer</w:t>
      </w:r>
      <w:r>
        <w:rPr>
          <w:i/>
          <w:color w:val="212121"/>
          <w:spacing w:val="80"/>
          <w:sz w:val="22"/>
        </w:rPr>
        <w:t> </w:t>
      </w:r>
      <w:r>
        <w:rPr>
          <w:i/>
          <w:color w:val="212121"/>
          <w:sz w:val="22"/>
        </w:rPr>
        <w:t>Systems</w:t>
      </w:r>
      <w:r>
        <w:rPr>
          <w:i/>
          <w:color w:val="212121"/>
          <w:spacing w:val="-4"/>
          <w:sz w:val="22"/>
        </w:rPr>
        <w:t> </w:t>
      </w:r>
      <w:r>
        <w:rPr>
          <w:color w:val="212121"/>
          <w:sz w:val="22"/>
        </w:rPr>
        <w:t>127</w:t>
      </w:r>
      <w:r>
        <w:rPr>
          <w:color w:val="212121"/>
          <w:spacing w:val="80"/>
          <w:sz w:val="22"/>
        </w:rPr>
        <w:t> </w:t>
      </w:r>
      <w:r>
        <w:rPr>
          <w:color w:val="212121"/>
          <w:sz w:val="22"/>
        </w:rPr>
        <w:t>(2022):</w:t>
      </w:r>
    </w:p>
    <w:p>
      <w:pPr>
        <w:pStyle w:val="BodyText"/>
        <w:ind w:left="590"/>
        <w:jc w:val="left"/>
      </w:pPr>
      <w:r>
        <w:rPr>
          <w:color w:val="212121"/>
          <w:spacing w:val="-2"/>
        </w:rPr>
        <w:t>252-</w:t>
      </w:r>
      <w:r>
        <w:rPr>
          <w:color w:val="212121"/>
          <w:spacing w:val="-4"/>
        </w:rPr>
        <w:t>262.</w:t>
      </w:r>
    </w:p>
    <w:p>
      <w:pPr>
        <w:pStyle w:val="BodyText"/>
        <w:spacing w:after="0"/>
        <w:jc w:val="left"/>
        <w:sectPr>
          <w:type w:val="continuous"/>
          <w:pgSz w:w="11910" w:h="16840"/>
          <w:pgMar w:header="1025" w:footer="1033" w:top="440" w:bottom="1220" w:left="850" w:right="850"/>
          <w:cols w:num="2" w:equalWidth="0">
            <w:col w:w="4792" w:space="436"/>
            <w:col w:w="4982"/>
          </w:cols>
        </w:sectPr>
      </w:pPr>
    </w:p>
    <w:p>
      <w:pPr>
        <w:pStyle w:val="ListParagraph"/>
        <w:numPr>
          <w:ilvl w:val="0"/>
          <w:numId w:val="1"/>
        </w:numPr>
        <w:tabs>
          <w:tab w:pos="588" w:val="left" w:leader="none"/>
          <w:tab w:pos="590" w:val="left" w:leader="none"/>
        </w:tabs>
        <w:spacing w:line="240" w:lineRule="auto" w:before="165" w:after="0"/>
        <w:ind w:left="590" w:right="38" w:hanging="361"/>
        <w:jc w:val="both"/>
        <w:rPr>
          <w:sz w:val="22"/>
        </w:rPr>
      </w:pPr>
      <w:r>
        <w:rPr>
          <w:sz w:val="22"/>
        </w:rPr>
        <mc:AlternateContent>
          <mc:Choice Requires="wps">
            <w:drawing>
              <wp:anchor distT="0" distB="0" distL="0" distR="0" allowOverlap="1" layoutInCell="1" locked="0" behindDoc="0" simplePos="0" relativeHeight="15735296">
                <wp:simplePos x="0" y="0"/>
                <wp:positionH relativeFrom="page">
                  <wp:posOffset>667512</wp:posOffset>
                </wp:positionH>
                <wp:positionV relativeFrom="paragraph">
                  <wp:posOffset>76351</wp:posOffset>
                </wp:positionV>
                <wp:extent cx="6227445" cy="127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227445" cy="12700"/>
                        </a:xfrm>
                        <a:custGeom>
                          <a:avLst/>
                          <a:gdLst/>
                          <a:ahLst/>
                          <a:cxnLst/>
                          <a:rect l="l" t="t" r="r" b="b"/>
                          <a:pathLst>
                            <a:path w="6227445" h="12700">
                              <a:moveTo>
                                <a:pt x="6227064" y="0"/>
                              </a:moveTo>
                              <a:lnTo>
                                <a:pt x="0" y="0"/>
                              </a:lnTo>
                              <a:lnTo>
                                <a:pt x="0" y="12192"/>
                              </a:lnTo>
                              <a:lnTo>
                                <a:pt x="6227064" y="12192"/>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6.011953pt;width:490.32pt;height:.96pt;mso-position-horizontal-relative:page;mso-position-vertical-relative:paragraph;z-index:15735296" id="docshape20" filled="true" fillcolor="#17365d" stroked="false">
                <v:fill type="solid"/>
                <w10:wrap type="none"/>
              </v:rect>
            </w:pict>
          </mc:Fallback>
        </mc:AlternateContent>
      </w:r>
      <w:r>
        <w:rPr>
          <w:sz w:val="22"/>
        </w:rPr>
        <w:t>Patel, U. "Data Privacy and Security in Financial Services." </w:t>
      </w:r>
      <w:r>
        <w:rPr>
          <w:i/>
          <w:sz w:val="22"/>
        </w:rPr>
        <w:t>Research Gate, </w:t>
      </w:r>
      <w:r>
        <w:rPr>
          <w:spacing w:val="-2"/>
          <w:sz w:val="22"/>
        </w:rPr>
        <w:t>(2024).:</w:t>
      </w:r>
      <w:hyperlink r:id="rId12">
        <w:r>
          <w:rPr>
            <w:color w:val="1154CC"/>
            <w:spacing w:val="-2"/>
            <w:sz w:val="22"/>
            <w:u w:val="single" w:color="1154CC"/>
          </w:rPr>
          <w:t>https://www.researchgate.net/publicati</w:t>
        </w:r>
      </w:hyperlink>
      <w:r>
        <w:rPr>
          <w:color w:val="1154CC"/>
          <w:spacing w:val="-2"/>
          <w:sz w:val="22"/>
        </w:rPr>
        <w:t> </w:t>
      </w:r>
      <w:hyperlink r:id="rId12">
        <w:r>
          <w:rPr>
            <w:color w:val="1154CC"/>
            <w:spacing w:val="-2"/>
            <w:sz w:val="22"/>
            <w:u w:val="single" w:color="1154CC"/>
          </w:rPr>
          <w:t>on/386492327_Data_Privacy_and_Security_in</w:t>
        </w:r>
      </w:hyperlink>
    </w:p>
    <w:p>
      <w:pPr>
        <w:pStyle w:val="BodyText"/>
        <w:spacing w:line="252" w:lineRule="exact"/>
        <w:ind w:left="590"/>
        <w:jc w:val="left"/>
      </w:pPr>
      <w:hyperlink r:id="rId12">
        <w:r>
          <w:rPr>
            <w:color w:val="1154CC"/>
            <w:spacing w:val="-2"/>
            <w:u w:val="single" w:color="1154CC"/>
          </w:rPr>
          <w:t>_Financial_Services</w:t>
        </w:r>
      </w:hyperlink>
    </w:p>
    <w:p>
      <w:pPr>
        <w:pStyle w:val="ListParagraph"/>
        <w:numPr>
          <w:ilvl w:val="0"/>
          <w:numId w:val="1"/>
        </w:numPr>
        <w:tabs>
          <w:tab w:pos="588" w:val="left" w:leader="none"/>
          <w:tab w:pos="590" w:val="left" w:leader="none"/>
          <w:tab w:pos="2271" w:val="left" w:leader="none"/>
          <w:tab w:pos="4106" w:val="left" w:leader="none"/>
        </w:tabs>
        <w:spacing w:line="240" w:lineRule="auto" w:before="0" w:after="0"/>
        <w:ind w:left="590" w:right="40" w:hanging="361"/>
        <w:jc w:val="left"/>
        <w:rPr>
          <w:sz w:val="22"/>
        </w:rPr>
      </w:pPr>
      <w:r>
        <w:rPr>
          <w:sz w:val="22"/>
        </w:rPr>
        <w:t>InCountry,</w:t>
      </w:r>
      <w:r>
        <w:rPr>
          <w:spacing w:val="40"/>
          <w:sz w:val="22"/>
        </w:rPr>
        <w:t> </w:t>
      </w:r>
      <w:r>
        <w:rPr>
          <w:sz w:val="22"/>
        </w:rPr>
        <w:t>"Data</w:t>
      </w:r>
      <w:r>
        <w:rPr>
          <w:spacing w:val="40"/>
          <w:sz w:val="22"/>
        </w:rPr>
        <w:t> </w:t>
      </w:r>
      <w:r>
        <w:rPr>
          <w:sz w:val="22"/>
        </w:rPr>
        <w:t>protection</w:t>
      </w:r>
      <w:r>
        <w:rPr>
          <w:spacing w:val="40"/>
          <w:sz w:val="22"/>
        </w:rPr>
        <w:t> </w:t>
      </w:r>
      <w:r>
        <w:rPr>
          <w:sz w:val="22"/>
        </w:rPr>
        <w:t>in</w:t>
      </w:r>
      <w:r>
        <w:rPr>
          <w:spacing w:val="40"/>
          <w:sz w:val="22"/>
        </w:rPr>
        <w:t> </w:t>
      </w:r>
      <w:r>
        <w:rPr>
          <w:sz w:val="22"/>
        </w:rPr>
        <w:t>the</w:t>
      </w:r>
      <w:r>
        <w:rPr>
          <w:spacing w:val="40"/>
          <w:sz w:val="22"/>
        </w:rPr>
        <w:t> </w:t>
      </w:r>
      <w:r>
        <w:rPr>
          <w:sz w:val="22"/>
        </w:rPr>
        <w:t>financial </w:t>
      </w:r>
      <w:r>
        <w:rPr>
          <w:spacing w:val="-2"/>
          <w:sz w:val="22"/>
        </w:rPr>
        <w:t>services</w:t>
      </w:r>
      <w:r>
        <w:rPr>
          <w:sz w:val="22"/>
        </w:rPr>
        <w:tab/>
      </w:r>
      <w:r>
        <w:rPr>
          <w:spacing w:val="-2"/>
          <w:sz w:val="22"/>
        </w:rPr>
        <w:t>industry."</w:t>
      </w:r>
      <w:r>
        <w:rPr>
          <w:sz w:val="22"/>
        </w:rPr>
        <w:tab/>
      </w:r>
      <w:r>
        <w:rPr>
          <w:spacing w:val="-2"/>
          <w:sz w:val="22"/>
        </w:rPr>
        <w:t>(2023). </w:t>
      </w:r>
      <w:hyperlink r:id="rId13">
        <w:r>
          <w:rPr>
            <w:color w:val="1154CC"/>
            <w:spacing w:val="-2"/>
            <w:sz w:val="22"/>
            <w:u w:val="single" w:color="1154CC"/>
          </w:rPr>
          <w:t>https://incountry.com/blog/data-protection-in-</w:t>
        </w:r>
      </w:hyperlink>
      <w:r>
        <w:rPr>
          <w:color w:val="1154CC"/>
          <w:spacing w:val="-2"/>
          <w:sz w:val="22"/>
        </w:rPr>
        <w:t> </w:t>
      </w:r>
      <w:hyperlink r:id="rId13">
        <w:r>
          <w:rPr>
            <w:color w:val="1154CC"/>
            <w:spacing w:val="-2"/>
            <w:sz w:val="22"/>
            <w:u w:val="single" w:color="1154CC"/>
          </w:rPr>
          <w:t>the-financial-services-industry/</w:t>
        </w:r>
      </w:hyperlink>
    </w:p>
    <w:p>
      <w:pPr>
        <w:pStyle w:val="ListParagraph"/>
        <w:numPr>
          <w:ilvl w:val="0"/>
          <w:numId w:val="1"/>
        </w:numPr>
        <w:tabs>
          <w:tab w:pos="588" w:val="left" w:leader="none"/>
          <w:tab w:pos="590" w:val="left" w:leader="none"/>
        </w:tabs>
        <w:spacing w:line="240" w:lineRule="auto" w:before="1" w:after="0"/>
        <w:ind w:left="590" w:right="38" w:hanging="361"/>
        <w:jc w:val="left"/>
        <w:rPr>
          <w:sz w:val="22"/>
        </w:rPr>
      </w:pPr>
      <w:r>
        <w:rPr>
          <w:sz w:val="22"/>
        </w:rPr>
        <w:t>Unnava,</w:t>
      </w:r>
      <w:r>
        <w:rPr>
          <w:spacing w:val="40"/>
          <w:sz w:val="22"/>
        </w:rPr>
        <w:t> </w:t>
      </w:r>
      <w:r>
        <w:rPr>
          <w:sz w:val="22"/>
        </w:rPr>
        <w:t>N.</w:t>
      </w:r>
      <w:r>
        <w:rPr>
          <w:spacing w:val="40"/>
          <w:sz w:val="22"/>
        </w:rPr>
        <w:t> </w:t>
      </w:r>
      <w:r>
        <w:rPr>
          <w:sz w:val="22"/>
        </w:rPr>
        <w:t>"A</w:t>
      </w:r>
      <w:r>
        <w:rPr>
          <w:spacing w:val="40"/>
          <w:sz w:val="22"/>
        </w:rPr>
        <w:t> </w:t>
      </w:r>
      <w:r>
        <w:rPr>
          <w:sz w:val="22"/>
        </w:rPr>
        <w:t>Comprehensive</w:t>
      </w:r>
      <w:r>
        <w:rPr>
          <w:spacing w:val="40"/>
          <w:sz w:val="22"/>
        </w:rPr>
        <w:t> </w:t>
      </w:r>
      <w:r>
        <w:rPr>
          <w:sz w:val="22"/>
        </w:rPr>
        <w:t>Analysis</w:t>
      </w:r>
      <w:r>
        <w:rPr>
          <w:spacing w:val="40"/>
          <w:sz w:val="22"/>
        </w:rPr>
        <w:t> </w:t>
      </w:r>
      <w:r>
        <w:rPr>
          <w:sz w:val="22"/>
        </w:rPr>
        <w:t>of Security Frameworks in Modern Cross-Border Payment</w:t>
      </w:r>
      <w:r>
        <w:rPr>
          <w:spacing w:val="80"/>
          <w:sz w:val="22"/>
        </w:rPr>
        <w:t> </w:t>
      </w:r>
      <w:r>
        <w:rPr>
          <w:sz w:val="22"/>
        </w:rPr>
        <w:t>Systems."</w:t>
      </w:r>
      <w:r>
        <w:rPr>
          <w:spacing w:val="80"/>
          <w:sz w:val="22"/>
        </w:rPr>
        <w:t> </w:t>
      </w:r>
      <w:r>
        <w:rPr>
          <w:i/>
          <w:sz w:val="22"/>
        </w:rPr>
        <w:t>ResearchGate,</w:t>
      </w:r>
      <w:r>
        <w:rPr>
          <w:i/>
          <w:spacing w:val="80"/>
          <w:sz w:val="22"/>
        </w:rPr>
        <w:t> </w:t>
      </w:r>
      <w:r>
        <w:rPr>
          <w:sz w:val="22"/>
        </w:rPr>
        <w:t>(2025). </w:t>
      </w:r>
      <w:hyperlink r:id="rId14">
        <w:r>
          <w:rPr>
            <w:color w:val="1154CC"/>
            <w:spacing w:val="-2"/>
            <w:sz w:val="22"/>
            <w:u w:val="single" w:color="1154CC"/>
          </w:rPr>
          <w:t>https://www.researchgate.net/publication/3919</w:t>
        </w:r>
      </w:hyperlink>
      <w:r>
        <w:rPr>
          <w:color w:val="1154CC"/>
          <w:spacing w:val="-2"/>
          <w:sz w:val="22"/>
        </w:rPr>
        <w:t> </w:t>
      </w:r>
      <w:hyperlink r:id="rId14">
        <w:r>
          <w:rPr>
            <w:color w:val="1154CC"/>
            <w:spacing w:val="-2"/>
            <w:sz w:val="22"/>
            <w:u w:val="single" w:color="1154CC"/>
          </w:rPr>
          <w:t>64064_A_Comprehensive_Analysis_of_Securi</w:t>
        </w:r>
      </w:hyperlink>
      <w:r>
        <w:rPr>
          <w:color w:val="1154CC"/>
          <w:spacing w:val="-2"/>
          <w:sz w:val="22"/>
        </w:rPr>
        <w:t> </w:t>
      </w:r>
      <w:hyperlink r:id="rId14">
        <w:r>
          <w:rPr>
            <w:color w:val="1154CC"/>
            <w:spacing w:val="-2"/>
            <w:sz w:val="22"/>
            <w:u w:val="single" w:color="1154CC"/>
          </w:rPr>
          <w:t>ty_Frameworks_in_Modern_Cross-</w:t>
        </w:r>
      </w:hyperlink>
      <w:r>
        <w:rPr>
          <w:color w:val="1154CC"/>
          <w:spacing w:val="-2"/>
          <w:sz w:val="22"/>
        </w:rPr>
        <w:t> </w:t>
      </w:r>
      <w:hyperlink r:id="rId14">
        <w:r>
          <w:rPr>
            <w:color w:val="1154CC"/>
            <w:spacing w:val="-2"/>
            <w:sz w:val="22"/>
            <w:u w:val="single" w:color="1154CC"/>
          </w:rPr>
          <w:t>Border_Payment_Systems</w:t>
        </w:r>
      </w:hyperlink>
    </w:p>
    <w:p>
      <w:pPr>
        <w:pStyle w:val="ListParagraph"/>
        <w:numPr>
          <w:ilvl w:val="0"/>
          <w:numId w:val="1"/>
        </w:numPr>
        <w:tabs>
          <w:tab w:pos="590" w:val="left" w:leader="none"/>
        </w:tabs>
        <w:spacing w:line="240" w:lineRule="auto" w:before="165" w:after="0"/>
        <w:ind w:left="590" w:right="223" w:hanging="360"/>
        <w:jc w:val="both"/>
        <w:rPr>
          <w:sz w:val="22"/>
        </w:rPr>
      </w:pPr>
      <w:r>
        <w:rPr/>
        <w:br w:type="column"/>
      </w:r>
      <w:r>
        <w:rPr>
          <w:color w:val="212121"/>
          <w:sz w:val="22"/>
        </w:rPr>
        <w:t>Modesti, P., Freitas, L., Shotomiwa, Q., &amp; Almehrej, A. "Security analysis of the open banking account and transaction API</w:t>
      </w:r>
      <w:r>
        <w:rPr>
          <w:color w:val="212121"/>
          <w:spacing w:val="40"/>
          <w:sz w:val="22"/>
        </w:rPr>
        <w:t> </w:t>
      </w:r>
      <w:r>
        <w:rPr>
          <w:color w:val="212121"/>
          <w:sz w:val="22"/>
        </w:rPr>
        <w:t>protocol."</w:t>
      </w:r>
      <w:r>
        <w:rPr>
          <w:color w:val="212121"/>
          <w:spacing w:val="-3"/>
          <w:sz w:val="22"/>
        </w:rPr>
        <w:t> </w:t>
      </w:r>
      <w:r>
        <w:rPr>
          <w:i/>
          <w:color w:val="212121"/>
          <w:sz w:val="22"/>
        </w:rPr>
        <w:t>Cyber Security and Applications</w:t>
      </w:r>
      <w:r>
        <w:rPr>
          <w:i/>
          <w:color w:val="212121"/>
          <w:spacing w:val="-1"/>
          <w:sz w:val="22"/>
        </w:rPr>
        <w:t> </w:t>
      </w:r>
      <w:r>
        <w:rPr>
          <w:color w:val="212121"/>
          <w:sz w:val="22"/>
        </w:rPr>
        <w:t>3 (2025): 100097.</w:t>
      </w:r>
    </w:p>
    <w:p>
      <w:pPr>
        <w:pStyle w:val="ListParagraph"/>
        <w:numPr>
          <w:ilvl w:val="0"/>
          <w:numId w:val="1"/>
        </w:numPr>
        <w:tabs>
          <w:tab w:pos="590" w:val="left" w:leader="none"/>
        </w:tabs>
        <w:spacing w:line="240" w:lineRule="auto" w:before="0" w:after="0"/>
        <w:ind w:left="590" w:right="225" w:hanging="360"/>
        <w:jc w:val="both"/>
        <w:rPr>
          <w:sz w:val="22"/>
        </w:rPr>
      </w:pPr>
      <w:r>
        <w:rPr>
          <w:color w:val="212121"/>
          <w:sz w:val="22"/>
        </w:rPr>
        <w:t>Tong, X., &amp; Yang, W.</w:t>
      </w:r>
      <w:r>
        <w:rPr>
          <w:color w:val="212121"/>
          <w:spacing w:val="-3"/>
          <w:sz w:val="22"/>
        </w:rPr>
        <w:t> </w:t>
      </w:r>
      <w:r>
        <w:rPr>
          <w:color w:val="212121"/>
          <w:sz w:val="22"/>
        </w:rPr>
        <w:t>"Empirical analysis of the impact of financial technology on the profitability of listed banks." </w:t>
      </w:r>
      <w:r>
        <w:rPr>
          <w:i/>
          <w:color w:val="212121"/>
          <w:sz w:val="22"/>
        </w:rPr>
        <w:t>International Review of Economics &amp; Finance</w:t>
      </w:r>
      <w:r>
        <w:rPr>
          <w:i/>
          <w:color w:val="212121"/>
          <w:spacing w:val="-1"/>
          <w:sz w:val="22"/>
        </w:rPr>
        <w:t> </w:t>
      </w:r>
      <w:r>
        <w:rPr>
          <w:color w:val="212121"/>
          <w:sz w:val="22"/>
        </w:rPr>
        <w:t>98 </w:t>
      </w:r>
      <w:r>
        <w:rPr>
          <w:color w:val="212121"/>
          <w:sz w:val="22"/>
        </w:rPr>
        <w:t>(2025): </w:t>
      </w:r>
      <w:r>
        <w:rPr>
          <w:color w:val="212121"/>
          <w:spacing w:val="-2"/>
          <w:sz w:val="22"/>
        </w:rPr>
        <w:t>103788.</w:t>
      </w:r>
    </w:p>
    <w:p>
      <w:pPr>
        <w:pStyle w:val="ListParagraph"/>
        <w:numPr>
          <w:ilvl w:val="0"/>
          <w:numId w:val="1"/>
        </w:numPr>
        <w:tabs>
          <w:tab w:pos="590" w:val="left" w:leader="none"/>
          <w:tab w:pos="2269" w:val="left" w:leader="none"/>
        </w:tabs>
        <w:spacing w:line="240" w:lineRule="auto" w:before="0" w:after="0"/>
        <w:ind w:left="590" w:right="221" w:hanging="360"/>
        <w:jc w:val="left"/>
        <w:rPr>
          <w:sz w:val="22"/>
        </w:rPr>
      </w:pPr>
      <w:r>
        <w:rPr>
          <w:sz w:val="22"/>
        </w:rPr>
        <w:t>Avato,</w:t>
      </w:r>
      <w:r>
        <w:rPr>
          <w:spacing w:val="40"/>
          <w:sz w:val="22"/>
        </w:rPr>
        <w:t> </w:t>
      </w:r>
      <w:r>
        <w:rPr>
          <w:sz w:val="22"/>
        </w:rPr>
        <w:t>"Best</w:t>
      </w:r>
      <w:r>
        <w:rPr>
          <w:spacing w:val="40"/>
          <w:sz w:val="22"/>
        </w:rPr>
        <w:t> </w:t>
      </w:r>
      <w:r>
        <w:rPr>
          <w:sz w:val="22"/>
        </w:rPr>
        <w:t>Practices</w:t>
      </w:r>
      <w:r>
        <w:rPr>
          <w:spacing w:val="40"/>
          <w:sz w:val="22"/>
        </w:rPr>
        <w:t> </w:t>
      </w:r>
      <w:r>
        <w:rPr>
          <w:sz w:val="22"/>
        </w:rPr>
        <w:t>for</w:t>
      </w:r>
      <w:r>
        <w:rPr>
          <w:spacing w:val="40"/>
          <w:sz w:val="22"/>
        </w:rPr>
        <w:t> </w:t>
      </w:r>
      <w:r>
        <w:rPr>
          <w:sz w:val="22"/>
        </w:rPr>
        <w:t>Data</w:t>
      </w:r>
      <w:r>
        <w:rPr>
          <w:spacing w:val="40"/>
          <w:sz w:val="22"/>
        </w:rPr>
        <w:t> </w:t>
      </w:r>
      <w:r>
        <w:rPr>
          <w:sz w:val="22"/>
        </w:rPr>
        <w:t>Integration Patterns</w:t>
      </w:r>
      <w:r>
        <w:rPr>
          <w:spacing w:val="40"/>
          <w:sz w:val="22"/>
        </w:rPr>
        <w:t> </w:t>
      </w:r>
      <w:r>
        <w:rPr>
          <w:sz w:val="22"/>
        </w:rPr>
        <w:t>in</w:t>
      </w:r>
      <w:r>
        <w:rPr>
          <w:spacing w:val="40"/>
          <w:sz w:val="22"/>
        </w:rPr>
        <w:t> </w:t>
      </w:r>
      <w:r>
        <w:rPr>
          <w:sz w:val="22"/>
        </w:rPr>
        <w:t>Banking:</w:t>
      </w:r>
      <w:r>
        <w:rPr>
          <w:spacing w:val="40"/>
          <w:sz w:val="22"/>
        </w:rPr>
        <w:t> </w:t>
      </w:r>
      <w:r>
        <w:rPr>
          <w:sz w:val="22"/>
        </w:rPr>
        <w:t>Proven</w:t>
      </w:r>
      <w:r>
        <w:rPr>
          <w:spacing w:val="40"/>
          <w:sz w:val="22"/>
        </w:rPr>
        <w:t> </w:t>
      </w:r>
      <w:r>
        <w:rPr>
          <w:sz w:val="22"/>
        </w:rPr>
        <w:t>Strategies</w:t>
      </w:r>
      <w:r>
        <w:rPr>
          <w:spacing w:val="40"/>
          <w:sz w:val="22"/>
        </w:rPr>
        <w:t> </w:t>
      </w:r>
      <w:r>
        <w:rPr>
          <w:sz w:val="22"/>
        </w:rPr>
        <w:t>for</w:t>
      </w:r>
      <w:r>
        <w:rPr>
          <w:spacing w:val="40"/>
          <w:sz w:val="22"/>
        </w:rPr>
        <w:t> </w:t>
      </w:r>
      <w:r>
        <w:rPr>
          <w:spacing w:val="-2"/>
          <w:sz w:val="22"/>
        </w:rPr>
        <w:t>Success."</w:t>
      </w:r>
      <w:r>
        <w:rPr>
          <w:sz w:val="22"/>
        </w:rPr>
        <w:tab/>
      </w:r>
      <w:r>
        <w:rPr>
          <w:spacing w:val="-2"/>
          <w:sz w:val="22"/>
        </w:rPr>
        <w:t>(2025)</w:t>
      </w:r>
      <w:hyperlink r:id="rId15">
        <w:r>
          <w:rPr>
            <w:spacing w:val="-2"/>
            <w:sz w:val="22"/>
          </w:rPr>
          <w:t>.</w:t>
        </w:r>
        <w:r>
          <w:rPr>
            <w:color w:val="1154CC"/>
            <w:spacing w:val="-2"/>
            <w:sz w:val="22"/>
            <w:u w:val="single" w:color="1154CC"/>
          </w:rPr>
          <w:t>https://avato.co/best-</w:t>
        </w:r>
      </w:hyperlink>
      <w:r>
        <w:rPr>
          <w:color w:val="1154CC"/>
          <w:spacing w:val="-2"/>
          <w:sz w:val="22"/>
        </w:rPr>
        <w:t> </w:t>
      </w:r>
      <w:hyperlink r:id="rId15">
        <w:r>
          <w:rPr>
            <w:color w:val="1154CC"/>
            <w:spacing w:val="-2"/>
            <w:sz w:val="22"/>
            <w:u w:val="single" w:color="1154CC"/>
          </w:rPr>
          <w:t>practices-for-data-integration-patterns-in-</w:t>
        </w:r>
      </w:hyperlink>
      <w:r>
        <w:rPr>
          <w:color w:val="1154CC"/>
          <w:spacing w:val="-2"/>
          <w:sz w:val="22"/>
        </w:rPr>
        <w:t> </w:t>
      </w:r>
      <w:hyperlink r:id="rId15">
        <w:r>
          <w:rPr>
            <w:color w:val="1154CC"/>
            <w:spacing w:val="-2"/>
            <w:sz w:val="22"/>
            <w:u w:val="single" w:color="1154CC"/>
          </w:rPr>
          <w:t>banking-proven-strategies-for-success/</w:t>
        </w:r>
      </w:hyperlink>
    </w:p>
    <w:p>
      <w:pPr>
        <w:pStyle w:val="ListParagraph"/>
        <w:spacing w:after="0" w:line="240" w:lineRule="auto"/>
        <w:jc w:val="left"/>
        <w:rPr>
          <w:sz w:val="22"/>
        </w:rPr>
        <w:sectPr>
          <w:pgSz w:w="11910" w:h="16840"/>
          <w:pgMar w:header="1025" w:footer="1033" w:top="1260" w:bottom="1220" w:left="850" w:right="850"/>
          <w:cols w:num="2" w:equalWidth="0">
            <w:col w:w="4793" w:space="436"/>
            <w:col w:w="4981"/>
          </w:cols>
        </w:sectPr>
      </w:pPr>
    </w:p>
    <w:p>
      <w:pPr>
        <w:pStyle w:val="BodyText"/>
        <w:ind w:left="0"/>
        <w:jc w:val="left"/>
      </w:pPr>
    </w:p>
    <w:p>
      <w:pPr>
        <w:pStyle w:val="BodyText"/>
        <w:ind w:left="0"/>
        <w:jc w:val="left"/>
      </w:pPr>
    </w:p>
    <w:p>
      <w:pPr>
        <w:pStyle w:val="BodyText"/>
        <w:ind w:left="0"/>
        <w:jc w:val="left"/>
      </w:pPr>
    </w:p>
    <w:p>
      <w:pPr>
        <w:pStyle w:val="Heading4"/>
        <w:jc w:val="center"/>
        <w:rPr>
          <w:b w:val="0"/>
        </w:rPr>
      </w:pPr>
      <w:r>
        <w:rPr/>
        <w:t>Source</w:t>
      </w:r>
      <w:r>
        <w:rPr>
          <w:spacing w:val="-4"/>
        </w:rPr>
        <w:t> </w:t>
      </w:r>
      <w:r>
        <w:rPr/>
        <w:t>of</w:t>
      </w:r>
      <w:r>
        <w:rPr>
          <w:spacing w:val="-4"/>
        </w:rPr>
        <w:t> </w:t>
      </w:r>
      <w:r>
        <w:rPr/>
        <w:t>support:</w:t>
      </w:r>
      <w:r>
        <w:rPr>
          <w:spacing w:val="-3"/>
        </w:rPr>
        <w:t> </w:t>
      </w:r>
      <w:r>
        <w:rPr>
          <w:b w:val="0"/>
        </w:rPr>
        <w:t>Nil;</w:t>
      </w:r>
      <w:r>
        <w:rPr>
          <w:b w:val="0"/>
          <w:spacing w:val="-4"/>
        </w:rPr>
        <w:t> </w:t>
      </w:r>
      <w:r>
        <w:rPr/>
        <w:t>Conflict</w:t>
      </w:r>
      <w:r>
        <w:rPr>
          <w:spacing w:val="-4"/>
        </w:rPr>
        <w:t> </w:t>
      </w:r>
      <w:r>
        <w:rPr/>
        <w:t>of</w:t>
      </w:r>
      <w:r>
        <w:rPr>
          <w:spacing w:val="-4"/>
        </w:rPr>
        <w:t> </w:t>
      </w:r>
      <w:r>
        <w:rPr/>
        <w:t>interest:</w:t>
      </w:r>
      <w:r>
        <w:rPr>
          <w:spacing w:val="-2"/>
        </w:rPr>
        <w:t> </w:t>
      </w:r>
      <w:r>
        <w:rPr>
          <w:b w:val="0"/>
          <w:spacing w:val="-4"/>
        </w:rPr>
        <w:t>Nil.</w:t>
      </w:r>
    </w:p>
    <w:p>
      <w:pPr>
        <w:spacing w:before="4"/>
        <w:ind w:left="4" w:right="8145" w:firstLine="0"/>
        <w:jc w:val="center"/>
        <w:rPr>
          <w:b/>
          <w:sz w:val="20"/>
        </w:rPr>
      </w:pPr>
      <w:r>
        <w:rPr>
          <w:b/>
          <w:sz w:val="20"/>
        </w:rPr>
        <w:t>Cite</w:t>
      </w:r>
      <w:r>
        <w:rPr>
          <w:b/>
          <w:spacing w:val="-4"/>
          <w:sz w:val="20"/>
        </w:rPr>
        <w:t> </w:t>
      </w:r>
      <w:r>
        <w:rPr>
          <w:b/>
          <w:sz w:val="20"/>
        </w:rPr>
        <w:t>this</w:t>
      </w:r>
      <w:r>
        <w:rPr>
          <w:b/>
          <w:spacing w:val="-4"/>
          <w:sz w:val="20"/>
        </w:rPr>
        <w:t> </w:t>
      </w:r>
      <w:r>
        <w:rPr>
          <w:b/>
          <w:sz w:val="20"/>
        </w:rPr>
        <w:t>article</w:t>
      </w:r>
      <w:r>
        <w:rPr>
          <w:b/>
          <w:spacing w:val="-4"/>
          <w:sz w:val="20"/>
        </w:rPr>
        <w:t> </w:t>
      </w:r>
      <w:r>
        <w:rPr>
          <w:b/>
          <w:spacing w:val="-5"/>
          <w:sz w:val="20"/>
        </w:rPr>
        <w:t>as:</w:t>
      </w:r>
    </w:p>
    <w:p>
      <w:pPr>
        <w:spacing w:line="276" w:lineRule="auto" w:before="0"/>
        <w:ind w:left="230" w:right="229" w:firstLine="0"/>
        <w:jc w:val="left"/>
        <w:rPr>
          <w:sz w:val="22"/>
        </w:rPr>
      </w:pPr>
      <w:r>
        <w:rPr>
          <w:sz w:val="20"/>
        </w:rPr>
        <w:t>Sriramoju, S</w:t>
      </w:r>
      <w:r>
        <w:rPr>
          <w:sz w:val="22"/>
        </w:rPr>
        <w:t>." </w:t>
      </w:r>
      <w:r>
        <w:rPr>
          <w:sz w:val="20"/>
        </w:rPr>
        <w:t>Secure Data Flow Patterns in Financial Integration Architecture</w:t>
      </w:r>
      <w:r>
        <w:rPr>
          <w:sz w:val="22"/>
        </w:rPr>
        <w:t>." </w:t>
      </w:r>
      <w:r>
        <w:rPr>
          <w:i/>
          <w:sz w:val="22"/>
        </w:rPr>
        <w:t>Sarcouncil Journal of Engineering and Computer Sciences</w:t>
      </w:r>
      <w:r>
        <w:rPr>
          <w:i/>
          <w:spacing w:val="80"/>
          <w:sz w:val="22"/>
        </w:rPr>
        <w:t> </w:t>
      </w:r>
      <w:r>
        <w:rPr>
          <w:sz w:val="22"/>
        </w:rPr>
        <w:t>4.7</w:t>
      </w:r>
      <w:r>
        <w:rPr>
          <w:spacing w:val="40"/>
          <w:sz w:val="22"/>
        </w:rPr>
        <w:t> </w:t>
      </w:r>
      <w:r>
        <w:rPr>
          <w:sz w:val="22"/>
        </w:rPr>
        <w:t>(2025): pp 1366-1373.</w:t>
      </w:r>
    </w:p>
    <w:sectPr>
      <w:type w:val="continuous"/>
      <w:pgSz w:w="11910" w:h="16840"/>
      <w:pgMar w:header="1025" w:footer="1033" w:top="440" w:bottom="12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Palatino Linotype">
    <w:altName w:val="Palatino Linotype"/>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62208">
              <wp:simplePos x="0" y="0"/>
              <wp:positionH relativeFrom="page">
                <wp:posOffset>2298319</wp:posOffset>
              </wp:positionH>
              <wp:positionV relativeFrom="page">
                <wp:posOffset>10033248</wp:posOffset>
              </wp:positionV>
              <wp:extent cx="2468880" cy="429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68880" cy="429895"/>
                      </a:xfrm>
                      <a:prstGeom prst="rect">
                        <a:avLst/>
                      </a:prstGeom>
                    </wps:spPr>
                    <wps:txbx>
                      <w:txbxContent>
                        <w:p>
                          <w:pPr>
                            <w:spacing w:before="17"/>
                            <w:ind w:left="3" w:right="0" w:firstLine="0"/>
                            <w:jc w:val="center"/>
                            <w:rPr>
                              <w:rFonts w:ascii="Cambria"/>
                              <w:sz w:val="15"/>
                            </w:rPr>
                          </w:pPr>
                          <w:r>
                            <w:rPr>
                              <w:rFonts w:ascii="Cambria"/>
                              <w:w w:val="105"/>
                              <w:sz w:val="15"/>
                            </w:rPr>
                            <w:t>(CC</w:t>
                          </w:r>
                          <w:r>
                            <w:rPr>
                              <w:rFonts w:ascii="Cambria"/>
                              <w:spacing w:val="8"/>
                              <w:w w:val="105"/>
                              <w:sz w:val="15"/>
                            </w:rPr>
                            <w:t> </w:t>
                          </w:r>
                          <w:r>
                            <w:rPr>
                              <w:rFonts w:ascii="Cambria"/>
                              <w:w w:val="105"/>
                              <w:sz w:val="15"/>
                            </w:rPr>
                            <w:t>BY-NC-ND</w:t>
                          </w:r>
                          <w:r>
                            <w:rPr>
                              <w:rFonts w:ascii="Cambria"/>
                              <w:spacing w:val="7"/>
                              <w:w w:val="105"/>
                              <w:sz w:val="15"/>
                            </w:rPr>
                            <w:t> </w:t>
                          </w:r>
                          <w:r>
                            <w:rPr>
                              <w:rFonts w:ascii="Cambria"/>
                              <w:w w:val="105"/>
                              <w:sz w:val="15"/>
                            </w:rPr>
                            <w:t>4.0)</w:t>
                          </w:r>
                          <w:r>
                            <w:rPr>
                              <w:rFonts w:ascii="Cambria"/>
                              <w:spacing w:val="5"/>
                              <w:w w:val="105"/>
                              <w:sz w:val="15"/>
                            </w:rPr>
                            <w:t> </w:t>
                          </w:r>
                          <w:r>
                            <w:rPr>
                              <w:rFonts w:ascii="Cambria"/>
                              <w:w w:val="105"/>
                              <w:sz w:val="15"/>
                            </w:rPr>
                            <w:t>International</w:t>
                          </w:r>
                          <w:r>
                            <w:rPr>
                              <w:rFonts w:ascii="Cambria"/>
                              <w:spacing w:val="8"/>
                              <w:w w:val="105"/>
                              <w:sz w:val="15"/>
                            </w:rPr>
                            <w:t> </w:t>
                          </w:r>
                          <w:r>
                            <w:rPr>
                              <w:rFonts w:ascii="Cambria"/>
                              <w:spacing w:val="-2"/>
                              <w:w w:val="105"/>
                              <w:sz w:val="15"/>
                            </w:rPr>
                            <w:t>License</w:t>
                          </w:r>
                        </w:p>
                        <w:p>
                          <w:pPr>
                            <w:spacing w:line="240" w:lineRule="exact" w:before="5"/>
                            <w:ind w:left="3" w:right="3" w:firstLine="0"/>
                            <w:jc w:val="center"/>
                            <w:rPr>
                              <w:sz w:val="20"/>
                            </w:rPr>
                          </w:pPr>
                          <w:r>
                            <w:rPr>
                              <w:rFonts w:ascii="Palatino Linotype"/>
                              <w:b/>
                              <w:sz w:val="18"/>
                            </w:rPr>
                            <w:t>*Corresponding</w:t>
                          </w:r>
                          <w:r>
                            <w:rPr>
                              <w:rFonts w:ascii="Palatino Linotype"/>
                              <w:b/>
                              <w:spacing w:val="-5"/>
                              <w:sz w:val="18"/>
                            </w:rPr>
                            <w:t> </w:t>
                          </w:r>
                          <w:r>
                            <w:rPr>
                              <w:rFonts w:ascii="Palatino Linotype"/>
                              <w:b/>
                              <w:sz w:val="18"/>
                            </w:rPr>
                            <w:t>Author:</w:t>
                          </w:r>
                          <w:r>
                            <w:rPr>
                              <w:rFonts w:ascii="Palatino Linotype"/>
                              <w:b/>
                              <w:spacing w:val="1"/>
                              <w:sz w:val="18"/>
                            </w:rPr>
                            <w:t> </w:t>
                          </w:r>
                          <w:r>
                            <w:rPr>
                              <w:sz w:val="20"/>
                            </w:rPr>
                            <w:t>Srikanth</w:t>
                          </w:r>
                          <w:r>
                            <w:rPr>
                              <w:spacing w:val="-5"/>
                              <w:sz w:val="20"/>
                            </w:rPr>
                            <w:t> </w:t>
                          </w:r>
                          <w:r>
                            <w:rPr>
                              <w:spacing w:val="-2"/>
                              <w:sz w:val="20"/>
                            </w:rPr>
                            <w:t>Sriramoju</w:t>
                          </w:r>
                        </w:p>
                        <w:p>
                          <w:pPr>
                            <w:spacing w:line="208" w:lineRule="exact" w:before="0"/>
                            <w:ind w:left="3" w:right="3" w:firstLine="0"/>
                            <w:jc w:val="center"/>
                            <w:rPr>
                              <w:rFonts w:ascii="Cambria"/>
                              <w:sz w:val="18"/>
                            </w:rPr>
                          </w:pPr>
                          <w:r>
                            <w:rPr>
                              <w:rFonts w:ascii="Cambria"/>
                              <w:sz w:val="18"/>
                            </w:rPr>
                            <w:t>DOI-</w:t>
                          </w:r>
                          <w:r>
                            <w:rPr>
                              <w:rFonts w:ascii="Cambria"/>
                              <w:spacing w:val="49"/>
                              <w:sz w:val="18"/>
                            </w:rPr>
                            <w:t> </w:t>
                          </w:r>
                          <w:r>
                            <w:rPr>
                              <w:rFonts w:ascii="Cambria"/>
                              <w:spacing w:val="-2"/>
                              <w:sz w:val="18"/>
                            </w:rPr>
                            <w:t>https://doi.org/10.5281/zenodo.16570241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0.970001pt;margin-top:790.019531pt;width:194.4pt;height:33.85pt;mso-position-horizontal-relative:page;mso-position-vertical-relative:page;z-index:-16054272" type="#_x0000_t202" id="docshape1" filled="false" stroked="false">
              <v:textbox inset="0,0,0,0">
                <w:txbxContent>
                  <w:p>
                    <w:pPr>
                      <w:spacing w:before="17"/>
                      <w:ind w:left="3" w:right="0" w:firstLine="0"/>
                      <w:jc w:val="center"/>
                      <w:rPr>
                        <w:rFonts w:ascii="Cambria"/>
                        <w:sz w:val="15"/>
                      </w:rPr>
                    </w:pPr>
                    <w:r>
                      <w:rPr>
                        <w:rFonts w:ascii="Cambria"/>
                        <w:w w:val="105"/>
                        <w:sz w:val="15"/>
                      </w:rPr>
                      <w:t>(CC</w:t>
                    </w:r>
                    <w:r>
                      <w:rPr>
                        <w:rFonts w:ascii="Cambria"/>
                        <w:spacing w:val="8"/>
                        <w:w w:val="105"/>
                        <w:sz w:val="15"/>
                      </w:rPr>
                      <w:t> </w:t>
                    </w:r>
                    <w:r>
                      <w:rPr>
                        <w:rFonts w:ascii="Cambria"/>
                        <w:w w:val="105"/>
                        <w:sz w:val="15"/>
                      </w:rPr>
                      <w:t>BY-NC-ND</w:t>
                    </w:r>
                    <w:r>
                      <w:rPr>
                        <w:rFonts w:ascii="Cambria"/>
                        <w:spacing w:val="7"/>
                        <w:w w:val="105"/>
                        <w:sz w:val="15"/>
                      </w:rPr>
                      <w:t> </w:t>
                    </w:r>
                    <w:r>
                      <w:rPr>
                        <w:rFonts w:ascii="Cambria"/>
                        <w:w w:val="105"/>
                        <w:sz w:val="15"/>
                      </w:rPr>
                      <w:t>4.0)</w:t>
                    </w:r>
                    <w:r>
                      <w:rPr>
                        <w:rFonts w:ascii="Cambria"/>
                        <w:spacing w:val="5"/>
                        <w:w w:val="105"/>
                        <w:sz w:val="15"/>
                      </w:rPr>
                      <w:t> </w:t>
                    </w:r>
                    <w:r>
                      <w:rPr>
                        <w:rFonts w:ascii="Cambria"/>
                        <w:w w:val="105"/>
                        <w:sz w:val="15"/>
                      </w:rPr>
                      <w:t>International</w:t>
                    </w:r>
                    <w:r>
                      <w:rPr>
                        <w:rFonts w:ascii="Cambria"/>
                        <w:spacing w:val="8"/>
                        <w:w w:val="105"/>
                        <w:sz w:val="15"/>
                      </w:rPr>
                      <w:t> </w:t>
                    </w:r>
                    <w:r>
                      <w:rPr>
                        <w:rFonts w:ascii="Cambria"/>
                        <w:spacing w:val="-2"/>
                        <w:w w:val="105"/>
                        <w:sz w:val="15"/>
                      </w:rPr>
                      <w:t>License</w:t>
                    </w:r>
                  </w:p>
                  <w:p>
                    <w:pPr>
                      <w:spacing w:line="240" w:lineRule="exact" w:before="5"/>
                      <w:ind w:left="3" w:right="3" w:firstLine="0"/>
                      <w:jc w:val="center"/>
                      <w:rPr>
                        <w:sz w:val="20"/>
                      </w:rPr>
                    </w:pPr>
                    <w:r>
                      <w:rPr>
                        <w:rFonts w:ascii="Palatino Linotype"/>
                        <w:b/>
                        <w:sz w:val="18"/>
                      </w:rPr>
                      <w:t>*Corresponding</w:t>
                    </w:r>
                    <w:r>
                      <w:rPr>
                        <w:rFonts w:ascii="Palatino Linotype"/>
                        <w:b/>
                        <w:spacing w:val="-5"/>
                        <w:sz w:val="18"/>
                      </w:rPr>
                      <w:t> </w:t>
                    </w:r>
                    <w:r>
                      <w:rPr>
                        <w:rFonts w:ascii="Palatino Linotype"/>
                        <w:b/>
                        <w:sz w:val="18"/>
                      </w:rPr>
                      <w:t>Author:</w:t>
                    </w:r>
                    <w:r>
                      <w:rPr>
                        <w:rFonts w:ascii="Palatino Linotype"/>
                        <w:b/>
                        <w:spacing w:val="1"/>
                        <w:sz w:val="18"/>
                      </w:rPr>
                      <w:t> </w:t>
                    </w:r>
                    <w:r>
                      <w:rPr>
                        <w:sz w:val="20"/>
                      </w:rPr>
                      <w:t>Srikanth</w:t>
                    </w:r>
                    <w:r>
                      <w:rPr>
                        <w:spacing w:val="-5"/>
                        <w:sz w:val="20"/>
                      </w:rPr>
                      <w:t> </w:t>
                    </w:r>
                    <w:r>
                      <w:rPr>
                        <w:spacing w:val="-2"/>
                        <w:sz w:val="20"/>
                      </w:rPr>
                      <w:t>Sriramoju</w:t>
                    </w:r>
                  </w:p>
                  <w:p>
                    <w:pPr>
                      <w:spacing w:line="208" w:lineRule="exact" w:before="0"/>
                      <w:ind w:left="3" w:right="3" w:firstLine="0"/>
                      <w:jc w:val="center"/>
                      <w:rPr>
                        <w:rFonts w:ascii="Cambria"/>
                        <w:sz w:val="18"/>
                      </w:rPr>
                    </w:pPr>
                    <w:r>
                      <w:rPr>
                        <w:rFonts w:ascii="Cambria"/>
                        <w:sz w:val="18"/>
                      </w:rPr>
                      <w:t>DOI-</w:t>
                    </w:r>
                    <w:r>
                      <w:rPr>
                        <w:rFonts w:ascii="Cambria"/>
                        <w:spacing w:val="49"/>
                        <w:sz w:val="18"/>
                      </w:rPr>
                      <w:t> </w:t>
                    </w:r>
                    <w:r>
                      <w:rPr>
                        <w:rFonts w:ascii="Cambria"/>
                        <w:spacing w:val="-2"/>
                        <w:sz w:val="18"/>
                      </w:rPr>
                      <w:t>https://doi.org/10.5281/zenodo.16570241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63744">
              <wp:simplePos x="0" y="0"/>
              <wp:positionH relativeFrom="page">
                <wp:posOffset>667512</wp:posOffset>
              </wp:positionH>
              <wp:positionV relativeFrom="page">
                <wp:posOffset>9858756</wp:posOffset>
              </wp:positionV>
              <wp:extent cx="6227445" cy="127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227445" cy="12700"/>
                      </a:xfrm>
                      <a:custGeom>
                        <a:avLst/>
                        <a:gdLst/>
                        <a:ahLst/>
                        <a:cxnLst/>
                        <a:rect l="l" t="t" r="r" b="b"/>
                        <a:pathLst>
                          <a:path w="6227445" h="12700">
                            <a:moveTo>
                              <a:pt x="6227064" y="0"/>
                            </a:moveTo>
                            <a:lnTo>
                              <a:pt x="0" y="0"/>
                            </a:lnTo>
                            <a:lnTo>
                              <a:pt x="0" y="12191"/>
                            </a:lnTo>
                            <a:lnTo>
                              <a:pt x="6227064" y="12191"/>
                            </a:lnTo>
                            <a:lnTo>
                              <a:pt x="6227064"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rect style="position:absolute;margin-left:52.560001pt;margin-top:776.280029pt;width:490.32pt;height:.95996pt;mso-position-horizontal-relative:page;mso-position-vertical-relative:page;z-index:-16052736" id="docshape10" filled="true" fillcolor="#17365d" stroked="false">
              <v:fill type="solid"/>
              <w10:wrap type="none"/>
            </v:rect>
          </w:pict>
        </mc:Fallback>
      </mc:AlternateContent>
    </w:r>
    <w:r>
      <w:rPr>
        <w:sz w:val="20"/>
      </w:rPr>
      <mc:AlternateContent>
        <mc:Choice Requires="wps">
          <w:drawing>
            <wp:anchor distT="0" distB="0" distL="0" distR="0" allowOverlap="1" layoutInCell="1" locked="0" behindDoc="1" simplePos="0" relativeHeight="487264256">
              <wp:simplePos x="0" y="0"/>
              <wp:positionH relativeFrom="page">
                <wp:posOffset>6533133</wp:posOffset>
              </wp:positionH>
              <wp:positionV relativeFrom="page">
                <wp:posOffset>9876026</wp:posOffset>
              </wp:positionV>
              <wp:extent cx="393700" cy="20955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93700" cy="209550"/>
                      </a:xfrm>
                      <a:prstGeom prst="rect">
                        <a:avLst/>
                      </a:prstGeom>
                    </wps:spPr>
                    <wps:txbx>
                      <w:txbxContent>
                        <w:p>
                          <w:pPr>
                            <w:spacing w:before="13"/>
                            <w:ind w:left="60" w:right="0" w:firstLine="0"/>
                            <w:jc w:val="left"/>
                            <w:rPr>
                              <w:rFonts w:ascii="Cambria"/>
                              <w:sz w:val="24"/>
                            </w:rPr>
                          </w:pPr>
                          <w:r>
                            <w:rPr>
                              <w:rFonts w:ascii="Cambria"/>
                              <w:spacing w:val="-4"/>
                              <w:sz w:val="24"/>
                            </w:rPr>
                            <w:fldChar w:fldCharType="begin"/>
                          </w:r>
                          <w:r>
                            <w:rPr>
                              <w:rFonts w:ascii="Cambria"/>
                              <w:spacing w:val="-4"/>
                              <w:sz w:val="24"/>
                            </w:rPr>
                            <w:instrText> PAGE </w:instrText>
                          </w:r>
                          <w:r>
                            <w:rPr>
                              <w:rFonts w:ascii="Cambria"/>
                              <w:spacing w:val="-4"/>
                              <w:sz w:val="24"/>
                            </w:rPr>
                            <w:fldChar w:fldCharType="separate"/>
                          </w:r>
                          <w:r>
                            <w:rPr>
                              <w:rFonts w:ascii="Cambria"/>
                              <w:spacing w:val="-4"/>
                              <w:sz w:val="24"/>
                            </w:rPr>
                            <w:t>1367</w:t>
                          </w:r>
                          <w:r>
                            <w:rPr>
                              <w:rFonts w:ascii="Cambria"/>
                              <w:spacing w:val="-4"/>
                              <w:sz w:val="24"/>
                            </w:rPr>
                            <w:fldChar w:fldCharType="end"/>
                          </w:r>
                        </w:p>
                      </w:txbxContent>
                    </wps:txbx>
                    <wps:bodyPr wrap="square" lIns="0" tIns="0" rIns="0" bIns="0" rtlCol="0">
                      <a:noAutofit/>
                    </wps:bodyPr>
                  </wps:wsp>
                </a:graphicData>
              </a:graphic>
            </wp:anchor>
          </w:drawing>
        </mc:Choice>
        <mc:Fallback>
          <w:pict>
            <v:shape style="position:absolute;margin-left:514.419983pt;margin-top:777.639893pt;width:31pt;height:16.5pt;mso-position-horizontal-relative:page;mso-position-vertical-relative:page;z-index:-16052224" type="#_x0000_t202" id="docshape11" filled="false" stroked="false">
              <v:textbox inset="0,0,0,0">
                <w:txbxContent>
                  <w:p>
                    <w:pPr>
                      <w:spacing w:before="13"/>
                      <w:ind w:left="60" w:right="0" w:firstLine="0"/>
                      <w:jc w:val="left"/>
                      <w:rPr>
                        <w:rFonts w:ascii="Cambria"/>
                        <w:sz w:val="24"/>
                      </w:rPr>
                    </w:pPr>
                    <w:r>
                      <w:rPr>
                        <w:rFonts w:ascii="Cambria"/>
                        <w:spacing w:val="-4"/>
                        <w:sz w:val="24"/>
                      </w:rPr>
                      <w:fldChar w:fldCharType="begin"/>
                    </w:r>
                    <w:r>
                      <w:rPr>
                        <w:rFonts w:ascii="Cambria"/>
                        <w:spacing w:val="-4"/>
                        <w:sz w:val="24"/>
                      </w:rPr>
                      <w:instrText> PAGE </w:instrText>
                    </w:r>
                    <w:r>
                      <w:rPr>
                        <w:rFonts w:ascii="Cambria"/>
                        <w:spacing w:val="-4"/>
                        <w:sz w:val="24"/>
                      </w:rPr>
                      <w:fldChar w:fldCharType="separate"/>
                    </w:r>
                    <w:r>
                      <w:rPr>
                        <w:rFonts w:ascii="Cambria"/>
                        <w:spacing w:val="-4"/>
                        <w:sz w:val="24"/>
                      </w:rPr>
                      <w:t>1367</w:t>
                    </w:r>
                    <w:r>
                      <w:rPr>
                        <w:rFonts w:ascii="Cambria"/>
                        <w:spacing w:val="-4"/>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64768">
              <wp:simplePos x="0" y="0"/>
              <wp:positionH relativeFrom="page">
                <wp:posOffset>749604</wp:posOffset>
              </wp:positionH>
              <wp:positionV relativeFrom="page">
                <wp:posOffset>9915900</wp:posOffset>
              </wp:positionV>
              <wp:extent cx="5570220" cy="41655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570220" cy="416559"/>
                      </a:xfrm>
                      <a:prstGeom prst="rect">
                        <a:avLst/>
                      </a:prstGeom>
                    </wps:spPr>
                    <wps:txbx>
                      <w:txbxContent>
                        <w:p>
                          <w:pPr>
                            <w:spacing w:line="254" w:lineRule="auto" w:before="17"/>
                            <w:ind w:left="2" w:right="0" w:firstLine="0"/>
                            <w:jc w:val="center"/>
                            <w:rPr>
                              <w:rFonts w:ascii="Cambria" w:hAnsi="Cambria"/>
                              <w:sz w:val="15"/>
                            </w:rPr>
                          </w:pPr>
                          <w:r>
                            <w:rPr>
                              <w:rFonts w:ascii="Cambria" w:hAnsi="Cambria"/>
                              <w:w w:val="105"/>
                              <w:sz w:val="15"/>
                            </w:rPr>
                            <w:t>Copyright</w:t>
                          </w:r>
                          <w:r>
                            <w:rPr>
                              <w:rFonts w:ascii="Cambria" w:hAnsi="Cambria"/>
                              <w:spacing w:val="-4"/>
                              <w:w w:val="105"/>
                              <w:sz w:val="15"/>
                            </w:rPr>
                            <w:t> </w:t>
                          </w:r>
                          <w:r>
                            <w:rPr>
                              <w:rFonts w:ascii="Cambria" w:hAnsi="Cambria"/>
                              <w:w w:val="105"/>
                              <w:sz w:val="15"/>
                            </w:rPr>
                            <w:t>©</w:t>
                          </w:r>
                          <w:r>
                            <w:rPr>
                              <w:rFonts w:ascii="Cambria" w:hAnsi="Cambria"/>
                              <w:spacing w:val="-9"/>
                              <w:w w:val="105"/>
                              <w:sz w:val="15"/>
                            </w:rPr>
                            <w:t> </w:t>
                          </w:r>
                          <w:r>
                            <w:rPr>
                              <w:rFonts w:ascii="Cambria" w:hAnsi="Cambria"/>
                              <w:w w:val="105"/>
                              <w:sz w:val="15"/>
                            </w:rPr>
                            <w:t>2022</w:t>
                          </w:r>
                          <w:r>
                            <w:rPr>
                              <w:rFonts w:ascii="Cambria" w:hAnsi="Cambria"/>
                              <w:spacing w:val="-5"/>
                              <w:w w:val="105"/>
                              <w:sz w:val="15"/>
                            </w:rPr>
                            <w:t> </w:t>
                          </w:r>
                          <w:r>
                            <w:rPr>
                              <w:rFonts w:ascii="Cambria" w:hAnsi="Cambria"/>
                              <w:w w:val="105"/>
                              <w:sz w:val="15"/>
                            </w:rPr>
                            <w:t>The</w:t>
                          </w:r>
                          <w:r>
                            <w:rPr>
                              <w:rFonts w:ascii="Cambria" w:hAnsi="Cambria"/>
                              <w:spacing w:val="-5"/>
                              <w:w w:val="105"/>
                              <w:sz w:val="15"/>
                            </w:rPr>
                            <w:t> </w:t>
                          </w:r>
                          <w:r>
                            <w:rPr>
                              <w:rFonts w:ascii="Cambria" w:hAnsi="Cambria"/>
                              <w:w w:val="105"/>
                              <w:sz w:val="15"/>
                            </w:rPr>
                            <w:t>Author(s):</w:t>
                          </w:r>
                          <w:r>
                            <w:rPr>
                              <w:rFonts w:ascii="Cambria" w:hAnsi="Cambria"/>
                              <w:spacing w:val="-6"/>
                              <w:w w:val="105"/>
                              <w:sz w:val="15"/>
                            </w:rPr>
                            <w:t> </w:t>
                          </w:r>
                          <w:r>
                            <w:rPr>
                              <w:rFonts w:ascii="Cambria" w:hAnsi="Cambria"/>
                              <w:w w:val="105"/>
                              <w:sz w:val="15"/>
                            </w:rPr>
                            <w:t>This</w:t>
                          </w:r>
                          <w:r>
                            <w:rPr>
                              <w:rFonts w:ascii="Cambria" w:hAnsi="Cambria"/>
                              <w:spacing w:val="-6"/>
                              <w:w w:val="105"/>
                              <w:sz w:val="15"/>
                            </w:rPr>
                            <w:t> </w:t>
                          </w:r>
                          <w:r>
                            <w:rPr>
                              <w:rFonts w:ascii="Cambria" w:hAnsi="Cambria"/>
                              <w:w w:val="105"/>
                              <w:sz w:val="15"/>
                            </w:rPr>
                            <w:t>work</w:t>
                          </w:r>
                          <w:r>
                            <w:rPr>
                              <w:rFonts w:ascii="Cambria" w:hAnsi="Cambria"/>
                              <w:spacing w:val="-6"/>
                              <w:w w:val="105"/>
                              <w:sz w:val="15"/>
                            </w:rPr>
                            <w:t> </w:t>
                          </w:r>
                          <w:r>
                            <w:rPr>
                              <w:rFonts w:ascii="Cambria" w:hAnsi="Cambria"/>
                              <w:w w:val="105"/>
                              <w:sz w:val="15"/>
                            </w:rPr>
                            <w:t>is</w:t>
                          </w:r>
                          <w:r>
                            <w:rPr>
                              <w:rFonts w:ascii="Cambria" w:hAnsi="Cambria"/>
                              <w:spacing w:val="-5"/>
                              <w:w w:val="105"/>
                              <w:sz w:val="15"/>
                            </w:rPr>
                            <w:t> </w:t>
                          </w:r>
                          <w:r>
                            <w:rPr>
                              <w:rFonts w:ascii="Cambria" w:hAnsi="Cambria"/>
                              <w:w w:val="105"/>
                              <w:sz w:val="15"/>
                            </w:rPr>
                            <w:t>licensed</w:t>
                          </w:r>
                          <w:r>
                            <w:rPr>
                              <w:rFonts w:ascii="Cambria" w:hAnsi="Cambria"/>
                              <w:spacing w:val="-8"/>
                              <w:w w:val="105"/>
                              <w:sz w:val="15"/>
                            </w:rPr>
                            <w:t> </w:t>
                          </w:r>
                          <w:r>
                            <w:rPr>
                              <w:rFonts w:ascii="Cambria" w:hAnsi="Cambria"/>
                              <w:w w:val="105"/>
                              <w:sz w:val="15"/>
                            </w:rPr>
                            <w:t>under</w:t>
                          </w:r>
                          <w:r>
                            <w:rPr>
                              <w:rFonts w:ascii="Cambria" w:hAnsi="Cambria"/>
                              <w:spacing w:val="-6"/>
                              <w:w w:val="105"/>
                              <w:sz w:val="15"/>
                            </w:rPr>
                            <w:t> </w:t>
                          </w:r>
                          <w:r>
                            <w:rPr>
                              <w:rFonts w:ascii="Cambria" w:hAnsi="Cambria"/>
                              <w:w w:val="105"/>
                              <w:sz w:val="15"/>
                            </w:rPr>
                            <w:t>a</w:t>
                          </w:r>
                          <w:r>
                            <w:rPr>
                              <w:rFonts w:ascii="Cambria" w:hAnsi="Cambria"/>
                              <w:spacing w:val="-5"/>
                              <w:w w:val="105"/>
                              <w:sz w:val="15"/>
                            </w:rPr>
                            <w:t> </w:t>
                          </w:r>
                          <w:r>
                            <w:rPr>
                              <w:rFonts w:ascii="Cambria" w:hAnsi="Cambria"/>
                              <w:w w:val="105"/>
                              <w:sz w:val="15"/>
                            </w:rPr>
                            <w:t>Creative</w:t>
                          </w:r>
                          <w:r>
                            <w:rPr>
                              <w:rFonts w:ascii="Cambria" w:hAnsi="Cambria"/>
                              <w:spacing w:val="-9"/>
                              <w:w w:val="105"/>
                              <w:sz w:val="15"/>
                            </w:rPr>
                            <w:t> </w:t>
                          </w:r>
                          <w:r>
                            <w:rPr>
                              <w:rFonts w:ascii="Cambria" w:hAnsi="Cambria"/>
                              <w:w w:val="105"/>
                              <w:sz w:val="15"/>
                            </w:rPr>
                            <w:t>Commons</w:t>
                          </w:r>
                          <w:r>
                            <w:rPr>
                              <w:rFonts w:ascii="Cambria" w:hAnsi="Cambria"/>
                              <w:spacing w:val="-6"/>
                              <w:w w:val="105"/>
                              <w:sz w:val="15"/>
                            </w:rPr>
                            <w:t> </w:t>
                          </w:r>
                          <w:r>
                            <w:rPr>
                              <w:rFonts w:ascii="Cambria" w:hAnsi="Cambria"/>
                              <w:w w:val="105"/>
                              <w:sz w:val="15"/>
                            </w:rPr>
                            <w:t>Attribution-</w:t>
                          </w:r>
                          <w:r>
                            <w:rPr>
                              <w:rFonts w:ascii="Cambria" w:hAnsi="Cambria"/>
                              <w:spacing w:val="5"/>
                              <w:w w:val="105"/>
                              <w:sz w:val="15"/>
                            </w:rPr>
                            <w:t> </w:t>
                          </w:r>
                          <w:r>
                            <w:rPr>
                              <w:rFonts w:ascii="Cambria" w:hAnsi="Cambria"/>
                              <w:w w:val="105"/>
                              <w:sz w:val="15"/>
                            </w:rPr>
                            <w:t>NonCommercial-NoDerivatives</w:t>
                          </w:r>
                          <w:r>
                            <w:rPr>
                              <w:rFonts w:ascii="Cambria" w:hAnsi="Cambria"/>
                              <w:spacing w:val="-5"/>
                              <w:w w:val="105"/>
                              <w:sz w:val="15"/>
                            </w:rPr>
                            <w:t> </w:t>
                          </w:r>
                          <w:r>
                            <w:rPr>
                              <w:rFonts w:ascii="Cambria" w:hAnsi="Cambria"/>
                              <w:w w:val="105"/>
                              <w:sz w:val="15"/>
                            </w:rPr>
                            <w:t>4.0</w:t>
                          </w:r>
                          <w:r>
                            <w:rPr>
                              <w:rFonts w:ascii="Cambria" w:hAnsi="Cambria"/>
                              <w:spacing w:val="40"/>
                              <w:w w:val="105"/>
                              <w:sz w:val="15"/>
                            </w:rPr>
                            <w:t> </w:t>
                          </w:r>
                          <w:r>
                            <w:rPr>
                              <w:rFonts w:ascii="Cambria" w:hAnsi="Cambria"/>
                              <w:w w:val="105"/>
                              <w:sz w:val="15"/>
                            </w:rPr>
                            <w:t>(CC BY-NC-ND 4.0) International License</w:t>
                          </w:r>
                        </w:p>
                        <w:p>
                          <w:pPr>
                            <w:spacing w:line="250" w:lineRule="exact" w:before="0"/>
                            <w:ind w:left="2" w:right="2" w:firstLine="0"/>
                            <w:jc w:val="center"/>
                            <w:rPr>
                              <w:rFonts w:ascii="Palatino Linotype"/>
                              <w:b/>
                              <w:sz w:val="20"/>
                            </w:rPr>
                          </w:pPr>
                          <w:r>
                            <w:rPr>
                              <w:rFonts w:ascii="Palatino Linotype"/>
                              <w:b/>
                              <w:sz w:val="20"/>
                            </w:rPr>
                            <w:t>Publisher:</w:t>
                          </w:r>
                          <w:r>
                            <w:rPr>
                              <w:rFonts w:ascii="Palatino Linotype"/>
                              <w:b/>
                              <w:spacing w:val="-5"/>
                              <w:sz w:val="20"/>
                            </w:rPr>
                            <w:t> </w:t>
                          </w:r>
                          <w:r>
                            <w:rPr>
                              <w:rFonts w:ascii="Palatino Linotype"/>
                              <w:b/>
                              <w:sz w:val="20"/>
                            </w:rPr>
                            <w:t>SARC</w:t>
                          </w:r>
                          <w:r>
                            <w:rPr>
                              <w:rFonts w:ascii="Palatino Linotype"/>
                              <w:b/>
                              <w:spacing w:val="-7"/>
                              <w:sz w:val="20"/>
                            </w:rPr>
                            <w:t> </w:t>
                          </w:r>
                          <w:r>
                            <w:rPr>
                              <w:rFonts w:ascii="Palatino Linotype"/>
                              <w:b/>
                              <w:spacing w:val="-2"/>
                              <w:sz w:val="20"/>
                            </w:rPr>
                            <w:t>Publisher</w:t>
                          </w:r>
                        </w:p>
                      </w:txbxContent>
                    </wps:txbx>
                    <wps:bodyPr wrap="square" lIns="0" tIns="0" rIns="0" bIns="0" rtlCol="0">
                      <a:noAutofit/>
                    </wps:bodyPr>
                  </wps:wsp>
                </a:graphicData>
              </a:graphic>
            </wp:anchor>
          </w:drawing>
        </mc:Choice>
        <mc:Fallback>
          <w:pict>
            <v:shape style="position:absolute;margin-left:59.023998pt;margin-top:780.779541pt;width:438.6pt;height:32.8pt;mso-position-horizontal-relative:page;mso-position-vertical-relative:page;z-index:-16051712" type="#_x0000_t202" id="docshape12" filled="false" stroked="false">
              <v:textbox inset="0,0,0,0">
                <w:txbxContent>
                  <w:p>
                    <w:pPr>
                      <w:spacing w:line="254" w:lineRule="auto" w:before="17"/>
                      <w:ind w:left="2" w:right="0" w:firstLine="0"/>
                      <w:jc w:val="center"/>
                      <w:rPr>
                        <w:rFonts w:ascii="Cambria" w:hAnsi="Cambria"/>
                        <w:sz w:val="15"/>
                      </w:rPr>
                    </w:pPr>
                    <w:r>
                      <w:rPr>
                        <w:rFonts w:ascii="Cambria" w:hAnsi="Cambria"/>
                        <w:w w:val="105"/>
                        <w:sz w:val="15"/>
                      </w:rPr>
                      <w:t>Copyright</w:t>
                    </w:r>
                    <w:r>
                      <w:rPr>
                        <w:rFonts w:ascii="Cambria" w:hAnsi="Cambria"/>
                        <w:spacing w:val="-4"/>
                        <w:w w:val="105"/>
                        <w:sz w:val="15"/>
                      </w:rPr>
                      <w:t> </w:t>
                    </w:r>
                    <w:r>
                      <w:rPr>
                        <w:rFonts w:ascii="Cambria" w:hAnsi="Cambria"/>
                        <w:w w:val="105"/>
                        <w:sz w:val="15"/>
                      </w:rPr>
                      <w:t>©</w:t>
                    </w:r>
                    <w:r>
                      <w:rPr>
                        <w:rFonts w:ascii="Cambria" w:hAnsi="Cambria"/>
                        <w:spacing w:val="-9"/>
                        <w:w w:val="105"/>
                        <w:sz w:val="15"/>
                      </w:rPr>
                      <w:t> </w:t>
                    </w:r>
                    <w:r>
                      <w:rPr>
                        <w:rFonts w:ascii="Cambria" w:hAnsi="Cambria"/>
                        <w:w w:val="105"/>
                        <w:sz w:val="15"/>
                      </w:rPr>
                      <w:t>2022</w:t>
                    </w:r>
                    <w:r>
                      <w:rPr>
                        <w:rFonts w:ascii="Cambria" w:hAnsi="Cambria"/>
                        <w:spacing w:val="-5"/>
                        <w:w w:val="105"/>
                        <w:sz w:val="15"/>
                      </w:rPr>
                      <w:t> </w:t>
                    </w:r>
                    <w:r>
                      <w:rPr>
                        <w:rFonts w:ascii="Cambria" w:hAnsi="Cambria"/>
                        <w:w w:val="105"/>
                        <w:sz w:val="15"/>
                      </w:rPr>
                      <w:t>The</w:t>
                    </w:r>
                    <w:r>
                      <w:rPr>
                        <w:rFonts w:ascii="Cambria" w:hAnsi="Cambria"/>
                        <w:spacing w:val="-5"/>
                        <w:w w:val="105"/>
                        <w:sz w:val="15"/>
                      </w:rPr>
                      <w:t> </w:t>
                    </w:r>
                    <w:r>
                      <w:rPr>
                        <w:rFonts w:ascii="Cambria" w:hAnsi="Cambria"/>
                        <w:w w:val="105"/>
                        <w:sz w:val="15"/>
                      </w:rPr>
                      <w:t>Author(s):</w:t>
                    </w:r>
                    <w:r>
                      <w:rPr>
                        <w:rFonts w:ascii="Cambria" w:hAnsi="Cambria"/>
                        <w:spacing w:val="-6"/>
                        <w:w w:val="105"/>
                        <w:sz w:val="15"/>
                      </w:rPr>
                      <w:t> </w:t>
                    </w:r>
                    <w:r>
                      <w:rPr>
                        <w:rFonts w:ascii="Cambria" w:hAnsi="Cambria"/>
                        <w:w w:val="105"/>
                        <w:sz w:val="15"/>
                      </w:rPr>
                      <w:t>This</w:t>
                    </w:r>
                    <w:r>
                      <w:rPr>
                        <w:rFonts w:ascii="Cambria" w:hAnsi="Cambria"/>
                        <w:spacing w:val="-6"/>
                        <w:w w:val="105"/>
                        <w:sz w:val="15"/>
                      </w:rPr>
                      <w:t> </w:t>
                    </w:r>
                    <w:r>
                      <w:rPr>
                        <w:rFonts w:ascii="Cambria" w:hAnsi="Cambria"/>
                        <w:w w:val="105"/>
                        <w:sz w:val="15"/>
                      </w:rPr>
                      <w:t>work</w:t>
                    </w:r>
                    <w:r>
                      <w:rPr>
                        <w:rFonts w:ascii="Cambria" w:hAnsi="Cambria"/>
                        <w:spacing w:val="-6"/>
                        <w:w w:val="105"/>
                        <w:sz w:val="15"/>
                      </w:rPr>
                      <w:t> </w:t>
                    </w:r>
                    <w:r>
                      <w:rPr>
                        <w:rFonts w:ascii="Cambria" w:hAnsi="Cambria"/>
                        <w:w w:val="105"/>
                        <w:sz w:val="15"/>
                      </w:rPr>
                      <w:t>is</w:t>
                    </w:r>
                    <w:r>
                      <w:rPr>
                        <w:rFonts w:ascii="Cambria" w:hAnsi="Cambria"/>
                        <w:spacing w:val="-5"/>
                        <w:w w:val="105"/>
                        <w:sz w:val="15"/>
                      </w:rPr>
                      <w:t> </w:t>
                    </w:r>
                    <w:r>
                      <w:rPr>
                        <w:rFonts w:ascii="Cambria" w:hAnsi="Cambria"/>
                        <w:w w:val="105"/>
                        <w:sz w:val="15"/>
                      </w:rPr>
                      <w:t>licensed</w:t>
                    </w:r>
                    <w:r>
                      <w:rPr>
                        <w:rFonts w:ascii="Cambria" w:hAnsi="Cambria"/>
                        <w:spacing w:val="-8"/>
                        <w:w w:val="105"/>
                        <w:sz w:val="15"/>
                      </w:rPr>
                      <w:t> </w:t>
                    </w:r>
                    <w:r>
                      <w:rPr>
                        <w:rFonts w:ascii="Cambria" w:hAnsi="Cambria"/>
                        <w:w w:val="105"/>
                        <w:sz w:val="15"/>
                      </w:rPr>
                      <w:t>under</w:t>
                    </w:r>
                    <w:r>
                      <w:rPr>
                        <w:rFonts w:ascii="Cambria" w:hAnsi="Cambria"/>
                        <w:spacing w:val="-6"/>
                        <w:w w:val="105"/>
                        <w:sz w:val="15"/>
                      </w:rPr>
                      <w:t> </w:t>
                    </w:r>
                    <w:r>
                      <w:rPr>
                        <w:rFonts w:ascii="Cambria" w:hAnsi="Cambria"/>
                        <w:w w:val="105"/>
                        <w:sz w:val="15"/>
                      </w:rPr>
                      <w:t>a</w:t>
                    </w:r>
                    <w:r>
                      <w:rPr>
                        <w:rFonts w:ascii="Cambria" w:hAnsi="Cambria"/>
                        <w:spacing w:val="-5"/>
                        <w:w w:val="105"/>
                        <w:sz w:val="15"/>
                      </w:rPr>
                      <w:t> </w:t>
                    </w:r>
                    <w:r>
                      <w:rPr>
                        <w:rFonts w:ascii="Cambria" w:hAnsi="Cambria"/>
                        <w:w w:val="105"/>
                        <w:sz w:val="15"/>
                      </w:rPr>
                      <w:t>Creative</w:t>
                    </w:r>
                    <w:r>
                      <w:rPr>
                        <w:rFonts w:ascii="Cambria" w:hAnsi="Cambria"/>
                        <w:spacing w:val="-9"/>
                        <w:w w:val="105"/>
                        <w:sz w:val="15"/>
                      </w:rPr>
                      <w:t> </w:t>
                    </w:r>
                    <w:r>
                      <w:rPr>
                        <w:rFonts w:ascii="Cambria" w:hAnsi="Cambria"/>
                        <w:w w:val="105"/>
                        <w:sz w:val="15"/>
                      </w:rPr>
                      <w:t>Commons</w:t>
                    </w:r>
                    <w:r>
                      <w:rPr>
                        <w:rFonts w:ascii="Cambria" w:hAnsi="Cambria"/>
                        <w:spacing w:val="-6"/>
                        <w:w w:val="105"/>
                        <w:sz w:val="15"/>
                      </w:rPr>
                      <w:t> </w:t>
                    </w:r>
                    <w:r>
                      <w:rPr>
                        <w:rFonts w:ascii="Cambria" w:hAnsi="Cambria"/>
                        <w:w w:val="105"/>
                        <w:sz w:val="15"/>
                      </w:rPr>
                      <w:t>Attribution-</w:t>
                    </w:r>
                    <w:r>
                      <w:rPr>
                        <w:rFonts w:ascii="Cambria" w:hAnsi="Cambria"/>
                        <w:spacing w:val="5"/>
                        <w:w w:val="105"/>
                        <w:sz w:val="15"/>
                      </w:rPr>
                      <w:t> </w:t>
                    </w:r>
                    <w:r>
                      <w:rPr>
                        <w:rFonts w:ascii="Cambria" w:hAnsi="Cambria"/>
                        <w:w w:val="105"/>
                        <w:sz w:val="15"/>
                      </w:rPr>
                      <w:t>NonCommercial-NoDerivatives</w:t>
                    </w:r>
                    <w:r>
                      <w:rPr>
                        <w:rFonts w:ascii="Cambria" w:hAnsi="Cambria"/>
                        <w:spacing w:val="-5"/>
                        <w:w w:val="105"/>
                        <w:sz w:val="15"/>
                      </w:rPr>
                      <w:t> </w:t>
                    </w:r>
                    <w:r>
                      <w:rPr>
                        <w:rFonts w:ascii="Cambria" w:hAnsi="Cambria"/>
                        <w:w w:val="105"/>
                        <w:sz w:val="15"/>
                      </w:rPr>
                      <w:t>4.0</w:t>
                    </w:r>
                    <w:r>
                      <w:rPr>
                        <w:rFonts w:ascii="Cambria" w:hAnsi="Cambria"/>
                        <w:spacing w:val="40"/>
                        <w:w w:val="105"/>
                        <w:sz w:val="15"/>
                      </w:rPr>
                      <w:t> </w:t>
                    </w:r>
                    <w:r>
                      <w:rPr>
                        <w:rFonts w:ascii="Cambria" w:hAnsi="Cambria"/>
                        <w:w w:val="105"/>
                        <w:sz w:val="15"/>
                      </w:rPr>
                      <w:t>(CC BY-NC-ND 4.0) International License</w:t>
                    </w:r>
                  </w:p>
                  <w:p>
                    <w:pPr>
                      <w:spacing w:line="250" w:lineRule="exact" w:before="0"/>
                      <w:ind w:left="2" w:right="2" w:firstLine="0"/>
                      <w:jc w:val="center"/>
                      <w:rPr>
                        <w:rFonts w:ascii="Palatino Linotype"/>
                        <w:b/>
                        <w:sz w:val="20"/>
                      </w:rPr>
                    </w:pPr>
                    <w:r>
                      <w:rPr>
                        <w:rFonts w:ascii="Palatino Linotype"/>
                        <w:b/>
                        <w:sz w:val="20"/>
                      </w:rPr>
                      <w:t>Publisher:</w:t>
                    </w:r>
                    <w:r>
                      <w:rPr>
                        <w:rFonts w:ascii="Palatino Linotype"/>
                        <w:b/>
                        <w:spacing w:val="-5"/>
                        <w:sz w:val="20"/>
                      </w:rPr>
                      <w:t> </w:t>
                    </w:r>
                    <w:r>
                      <w:rPr>
                        <w:rFonts w:ascii="Palatino Linotype"/>
                        <w:b/>
                        <w:sz w:val="20"/>
                      </w:rPr>
                      <w:t>SARC</w:t>
                    </w:r>
                    <w:r>
                      <w:rPr>
                        <w:rFonts w:ascii="Palatino Linotype"/>
                        <w:b/>
                        <w:spacing w:val="-7"/>
                        <w:sz w:val="20"/>
                      </w:rPr>
                      <w:t> </w:t>
                    </w:r>
                    <w:r>
                      <w:rPr>
                        <w:rFonts w:ascii="Palatino Linotype"/>
                        <w:b/>
                        <w:spacing w:val="-2"/>
                        <w:sz w:val="20"/>
                      </w:rPr>
                      <w:t>Publisher</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62720">
              <wp:simplePos x="0" y="0"/>
              <wp:positionH relativeFrom="page">
                <wp:posOffset>719124</wp:posOffset>
              </wp:positionH>
              <wp:positionV relativeFrom="page">
                <wp:posOffset>638074</wp:posOffset>
              </wp:positionV>
              <wp:extent cx="703580"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03580" cy="180975"/>
                      </a:xfrm>
                      <a:prstGeom prst="rect">
                        <a:avLst/>
                      </a:prstGeom>
                    </wps:spPr>
                    <wps:txbx>
                      <w:txbxContent>
                        <w:p>
                          <w:pPr>
                            <w:spacing w:before="11"/>
                            <w:ind w:left="20" w:right="0" w:firstLine="0"/>
                            <w:jc w:val="left"/>
                            <w:rPr>
                              <w:i/>
                              <w:sz w:val="22"/>
                            </w:rPr>
                          </w:pPr>
                          <w:r>
                            <w:rPr>
                              <w:i/>
                              <w:sz w:val="20"/>
                            </w:rPr>
                            <w:t>Sriramoju,</w:t>
                          </w:r>
                          <w:r>
                            <w:rPr>
                              <w:i/>
                              <w:spacing w:val="-8"/>
                              <w:sz w:val="20"/>
                            </w:rPr>
                            <w:t> </w:t>
                          </w:r>
                          <w:r>
                            <w:rPr>
                              <w:i/>
                              <w:spacing w:val="-5"/>
                              <w:sz w:val="20"/>
                            </w:rPr>
                            <w:t>S</w:t>
                          </w:r>
                          <w:r>
                            <w:rPr>
                              <w:i/>
                              <w:spacing w:val="-5"/>
                              <w:sz w:val="22"/>
                            </w:rPr>
                            <w:t>.</w:t>
                          </w:r>
                        </w:p>
                      </w:txbxContent>
                    </wps:txbx>
                    <wps:bodyPr wrap="square" lIns="0" tIns="0" rIns="0" bIns="0" rtlCol="0">
                      <a:noAutofit/>
                    </wps:bodyPr>
                  </wps:wsp>
                </a:graphicData>
              </a:graphic>
            </wp:anchor>
          </w:drawing>
        </mc:Choice>
        <mc:Fallback>
          <w:pict>
            <v:shape style="position:absolute;margin-left:56.624001pt;margin-top:50.242092pt;width:55.4pt;height:14.25pt;mso-position-horizontal-relative:page;mso-position-vertical-relative:page;z-index:-16053760" type="#_x0000_t202" id="docshape8" filled="false" stroked="false">
              <v:textbox inset="0,0,0,0">
                <w:txbxContent>
                  <w:p>
                    <w:pPr>
                      <w:spacing w:before="11"/>
                      <w:ind w:left="20" w:right="0" w:firstLine="0"/>
                      <w:jc w:val="left"/>
                      <w:rPr>
                        <w:i/>
                        <w:sz w:val="22"/>
                      </w:rPr>
                    </w:pPr>
                    <w:r>
                      <w:rPr>
                        <w:i/>
                        <w:sz w:val="20"/>
                      </w:rPr>
                      <w:t>Sriramoju,</w:t>
                    </w:r>
                    <w:r>
                      <w:rPr>
                        <w:i/>
                        <w:spacing w:val="-8"/>
                        <w:sz w:val="20"/>
                      </w:rPr>
                      <w:t> </w:t>
                    </w:r>
                    <w:r>
                      <w:rPr>
                        <w:i/>
                        <w:spacing w:val="-5"/>
                        <w:sz w:val="20"/>
                      </w:rPr>
                      <w:t>S</w:t>
                    </w:r>
                    <w:r>
                      <w:rPr>
                        <w:i/>
                        <w:spacing w:val="-5"/>
                        <w:sz w:val="22"/>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3232">
              <wp:simplePos x="0" y="0"/>
              <wp:positionH relativeFrom="page">
                <wp:posOffset>4016121</wp:posOffset>
              </wp:positionH>
              <wp:positionV relativeFrom="page">
                <wp:posOffset>638105</wp:posOffset>
              </wp:positionV>
              <wp:extent cx="308864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088640" cy="165735"/>
                      </a:xfrm>
                      <a:prstGeom prst="rect">
                        <a:avLst/>
                      </a:prstGeom>
                    </wps:spPr>
                    <wps:txbx>
                      <w:txbxContent>
                        <w:p>
                          <w:pPr>
                            <w:spacing w:before="10"/>
                            <w:ind w:left="20" w:right="0" w:firstLine="0"/>
                            <w:jc w:val="left"/>
                            <w:rPr>
                              <w:i/>
                              <w:sz w:val="20"/>
                            </w:rPr>
                          </w:pPr>
                          <w:r>
                            <w:rPr>
                              <w:i/>
                              <w:sz w:val="20"/>
                            </w:rPr>
                            <w:t>Sarc.</w:t>
                          </w:r>
                          <w:r>
                            <w:rPr>
                              <w:i/>
                              <w:spacing w:val="-4"/>
                              <w:sz w:val="20"/>
                            </w:rPr>
                            <w:t> </w:t>
                          </w:r>
                          <w:r>
                            <w:rPr>
                              <w:i/>
                              <w:sz w:val="20"/>
                            </w:rPr>
                            <w:t>Jr.</w:t>
                          </w:r>
                          <w:r>
                            <w:rPr>
                              <w:i/>
                              <w:spacing w:val="-3"/>
                              <w:sz w:val="20"/>
                            </w:rPr>
                            <w:t> </w:t>
                          </w:r>
                          <w:r>
                            <w:rPr>
                              <w:i/>
                              <w:sz w:val="20"/>
                            </w:rPr>
                            <w:t>Eng.</w:t>
                          </w:r>
                          <w:r>
                            <w:rPr>
                              <w:i/>
                              <w:spacing w:val="-5"/>
                              <w:sz w:val="20"/>
                            </w:rPr>
                            <w:t> </w:t>
                          </w:r>
                          <w:r>
                            <w:rPr>
                              <w:i/>
                              <w:sz w:val="20"/>
                            </w:rPr>
                            <w:t>Com.</w:t>
                          </w:r>
                          <w:r>
                            <w:rPr>
                              <w:i/>
                              <w:spacing w:val="-4"/>
                              <w:sz w:val="20"/>
                            </w:rPr>
                            <w:t> </w:t>
                          </w:r>
                          <w:r>
                            <w:rPr>
                              <w:i/>
                              <w:sz w:val="20"/>
                            </w:rPr>
                            <w:t>Sci.</w:t>
                          </w:r>
                          <w:r>
                            <w:rPr>
                              <w:i/>
                              <w:spacing w:val="-4"/>
                              <w:sz w:val="20"/>
                            </w:rPr>
                            <w:t> </w:t>
                          </w:r>
                          <w:r>
                            <w:rPr>
                              <w:i/>
                              <w:sz w:val="20"/>
                            </w:rPr>
                            <w:t>vol-4,</w:t>
                          </w:r>
                          <w:r>
                            <w:rPr>
                              <w:i/>
                              <w:spacing w:val="-6"/>
                              <w:sz w:val="20"/>
                            </w:rPr>
                            <w:t> </w:t>
                          </w:r>
                          <w:r>
                            <w:rPr>
                              <w:i/>
                              <w:sz w:val="20"/>
                            </w:rPr>
                            <w:t>issue-7</w:t>
                          </w:r>
                          <w:r>
                            <w:rPr>
                              <w:i/>
                              <w:spacing w:val="-4"/>
                              <w:sz w:val="20"/>
                            </w:rPr>
                            <w:t> </w:t>
                          </w:r>
                          <w:r>
                            <w:rPr>
                              <w:i/>
                              <w:sz w:val="20"/>
                            </w:rPr>
                            <w:t>(2025)</w:t>
                          </w:r>
                          <w:r>
                            <w:rPr>
                              <w:i/>
                              <w:spacing w:val="-6"/>
                              <w:sz w:val="20"/>
                            </w:rPr>
                            <w:t> </w:t>
                          </w:r>
                          <w:r>
                            <w:rPr>
                              <w:i/>
                              <w:sz w:val="20"/>
                            </w:rPr>
                            <w:t>pp-1366-</w:t>
                          </w:r>
                          <w:r>
                            <w:rPr>
                              <w:i/>
                              <w:spacing w:val="-4"/>
                              <w:sz w:val="20"/>
                            </w:rPr>
                            <w:t>1373</w:t>
                          </w:r>
                        </w:p>
                      </w:txbxContent>
                    </wps:txbx>
                    <wps:bodyPr wrap="square" lIns="0" tIns="0" rIns="0" bIns="0" rtlCol="0">
                      <a:noAutofit/>
                    </wps:bodyPr>
                  </wps:wsp>
                </a:graphicData>
              </a:graphic>
            </wp:anchor>
          </w:drawing>
        </mc:Choice>
        <mc:Fallback>
          <w:pict>
            <v:shape style="position:absolute;margin-left:316.230011pt;margin-top:50.244495pt;width:243.2pt;height:13.05pt;mso-position-horizontal-relative:page;mso-position-vertical-relative:page;z-index:-16053248" type="#_x0000_t202" id="docshape9" filled="false" stroked="false">
              <v:textbox inset="0,0,0,0">
                <w:txbxContent>
                  <w:p>
                    <w:pPr>
                      <w:spacing w:before="10"/>
                      <w:ind w:left="20" w:right="0" w:firstLine="0"/>
                      <w:jc w:val="left"/>
                      <w:rPr>
                        <w:i/>
                        <w:sz w:val="20"/>
                      </w:rPr>
                    </w:pPr>
                    <w:r>
                      <w:rPr>
                        <w:i/>
                        <w:sz w:val="20"/>
                      </w:rPr>
                      <w:t>Sarc.</w:t>
                    </w:r>
                    <w:r>
                      <w:rPr>
                        <w:i/>
                        <w:spacing w:val="-4"/>
                        <w:sz w:val="20"/>
                      </w:rPr>
                      <w:t> </w:t>
                    </w:r>
                    <w:r>
                      <w:rPr>
                        <w:i/>
                        <w:sz w:val="20"/>
                      </w:rPr>
                      <w:t>Jr.</w:t>
                    </w:r>
                    <w:r>
                      <w:rPr>
                        <w:i/>
                        <w:spacing w:val="-3"/>
                        <w:sz w:val="20"/>
                      </w:rPr>
                      <w:t> </w:t>
                    </w:r>
                    <w:r>
                      <w:rPr>
                        <w:i/>
                        <w:sz w:val="20"/>
                      </w:rPr>
                      <w:t>Eng.</w:t>
                    </w:r>
                    <w:r>
                      <w:rPr>
                        <w:i/>
                        <w:spacing w:val="-5"/>
                        <w:sz w:val="20"/>
                      </w:rPr>
                      <w:t> </w:t>
                    </w:r>
                    <w:r>
                      <w:rPr>
                        <w:i/>
                        <w:sz w:val="20"/>
                      </w:rPr>
                      <w:t>Com.</w:t>
                    </w:r>
                    <w:r>
                      <w:rPr>
                        <w:i/>
                        <w:spacing w:val="-4"/>
                        <w:sz w:val="20"/>
                      </w:rPr>
                      <w:t> </w:t>
                    </w:r>
                    <w:r>
                      <w:rPr>
                        <w:i/>
                        <w:sz w:val="20"/>
                      </w:rPr>
                      <w:t>Sci.</w:t>
                    </w:r>
                    <w:r>
                      <w:rPr>
                        <w:i/>
                        <w:spacing w:val="-4"/>
                        <w:sz w:val="20"/>
                      </w:rPr>
                      <w:t> </w:t>
                    </w:r>
                    <w:r>
                      <w:rPr>
                        <w:i/>
                        <w:sz w:val="20"/>
                      </w:rPr>
                      <w:t>vol-4,</w:t>
                    </w:r>
                    <w:r>
                      <w:rPr>
                        <w:i/>
                        <w:spacing w:val="-6"/>
                        <w:sz w:val="20"/>
                      </w:rPr>
                      <w:t> </w:t>
                    </w:r>
                    <w:r>
                      <w:rPr>
                        <w:i/>
                        <w:sz w:val="20"/>
                      </w:rPr>
                      <w:t>issue-7</w:t>
                    </w:r>
                    <w:r>
                      <w:rPr>
                        <w:i/>
                        <w:spacing w:val="-4"/>
                        <w:sz w:val="20"/>
                      </w:rPr>
                      <w:t> </w:t>
                    </w:r>
                    <w:r>
                      <w:rPr>
                        <w:i/>
                        <w:sz w:val="20"/>
                      </w:rPr>
                      <w:t>(2025)</w:t>
                    </w:r>
                    <w:r>
                      <w:rPr>
                        <w:i/>
                        <w:spacing w:val="-6"/>
                        <w:sz w:val="20"/>
                      </w:rPr>
                      <w:t> </w:t>
                    </w:r>
                    <w:r>
                      <w:rPr>
                        <w:i/>
                        <w:sz w:val="20"/>
                      </w:rPr>
                      <w:t>pp-1366-</w:t>
                    </w:r>
                    <w:r>
                      <w:rPr>
                        <w:i/>
                        <w:spacing w:val="-4"/>
                        <w:sz w:val="20"/>
                      </w:rPr>
                      <w:t>1373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037" w:hanging="360"/>
      </w:pPr>
      <w:rPr>
        <w:rFonts w:hint="default"/>
        <w:lang w:val="en-US" w:eastAsia="en-US" w:bidi="ar-SA"/>
      </w:rPr>
    </w:lvl>
    <w:lvl w:ilvl="2">
      <w:start w:val="0"/>
      <w:numFmt w:val="bullet"/>
      <w:lvlText w:val="•"/>
      <w:lvlJc w:val="left"/>
      <w:pPr>
        <w:ind w:left="1475" w:hanging="360"/>
      </w:pPr>
      <w:rPr>
        <w:rFonts w:hint="default"/>
        <w:lang w:val="en-US" w:eastAsia="en-US" w:bidi="ar-SA"/>
      </w:rPr>
    </w:lvl>
    <w:lvl w:ilvl="3">
      <w:start w:val="0"/>
      <w:numFmt w:val="bullet"/>
      <w:lvlText w:val="•"/>
      <w:lvlJc w:val="left"/>
      <w:pPr>
        <w:ind w:left="1913" w:hanging="360"/>
      </w:pPr>
      <w:rPr>
        <w:rFonts w:hint="default"/>
        <w:lang w:val="en-US" w:eastAsia="en-US" w:bidi="ar-SA"/>
      </w:rPr>
    </w:lvl>
    <w:lvl w:ilvl="4">
      <w:start w:val="0"/>
      <w:numFmt w:val="bullet"/>
      <w:lvlText w:val="•"/>
      <w:lvlJc w:val="left"/>
      <w:pPr>
        <w:ind w:left="2351" w:hanging="360"/>
      </w:pPr>
      <w:rPr>
        <w:rFonts w:hint="default"/>
        <w:lang w:val="en-US" w:eastAsia="en-US" w:bidi="ar-SA"/>
      </w:rPr>
    </w:lvl>
    <w:lvl w:ilvl="5">
      <w:start w:val="0"/>
      <w:numFmt w:val="bullet"/>
      <w:lvlText w:val="•"/>
      <w:lvlJc w:val="left"/>
      <w:pPr>
        <w:ind w:left="2788" w:hanging="360"/>
      </w:pPr>
      <w:rPr>
        <w:rFonts w:hint="default"/>
        <w:lang w:val="en-US" w:eastAsia="en-US" w:bidi="ar-SA"/>
      </w:rPr>
    </w:lvl>
    <w:lvl w:ilvl="6">
      <w:start w:val="0"/>
      <w:numFmt w:val="bullet"/>
      <w:lvlText w:val="•"/>
      <w:lvlJc w:val="left"/>
      <w:pPr>
        <w:ind w:left="3226" w:hanging="360"/>
      </w:pPr>
      <w:rPr>
        <w:rFonts w:hint="default"/>
        <w:lang w:val="en-US" w:eastAsia="en-US" w:bidi="ar-SA"/>
      </w:rPr>
    </w:lvl>
    <w:lvl w:ilvl="7">
      <w:start w:val="0"/>
      <w:numFmt w:val="bullet"/>
      <w:lvlText w:val="•"/>
      <w:lvlJc w:val="left"/>
      <w:pPr>
        <w:ind w:left="3664" w:hanging="360"/>
      </w:pPr>
      <w:rPr>
        <w:rFonts w:hint="default"/>
        <w:lang w:val="en-US" w:eastAsia="en-US" w:bidi="ar-SA"/>
      </w:rPr>
    </w:lvl>
    <w:lvl w:ilvl="8">
      <w:start w:val="0"/>
      <w:numFmt w:val="bullet"/>
      <w:lvlText w:val="•"/>
      <w:lvlJc w:val="left"/>
      <w:pPr>
        <w:ind w:left="410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17"/>
      <w:ind w:left="23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30"/>
      <w:jc w:val="both"/>
      <w:outlineLvl w:val="2"/>
    </w:pPr>
    <w:rPr>
      <w:rFonts w:ascii="Palatino Linotype" w:hAnsi="Palatino Linotype" w:eastAsia="Palatino Linotype" w:cs="Palatino Linotype"/>
      <w:b/>
      <w:bCs/>
      <w:sz w:val="24"/>
      <w:szCs w:val="24"/>
      <w:lang w:val="en-US" w:eastAsia="en-US" w:bidi="ar-SA"/>
    </w:rPr>
  </w:style>
  <w:style w:styleId="Heading3" w:type="paragraph">
    <w:name w:val="Heading 3"/>
    <w:basedOn w:val="Normal"/>
    <w:uiPriority w:val="1"/>
    <w:qFormat/>
    <w:pPr>
      <w:spacing w:before="13"/>
      <w:ind w:left="60"/>
      <w:outlineLvl w:val="3"/>
    </w:pPr>
    <w:rPr>
      <w:rFonts w:ascii="Cambria" w:hAnsi="Cambria" w:eastAsia="Cambria" w:cs="Cambria"/>
      <w:sz w:val="24"/>
      <w:szCs w:val="24"/>
      <w:lang w:val="en-US" w:eastAsia="en-US" w:bidi="ar-SA"/>
    </w:rPr>
  </w:style>
  <w:style w:styleId="Heading4" w:type="paragraph">
    <w:name w:val="Heading 4"/>
    <w:basedOn w:val="Normal"/>
    <w:uiPriority w:val="1"/>
    <w:qFormat/>
    <w:pPr>
      <w:ind w:left="4"/>
      <w:outlineLvl w:val="4"/>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590" w:right="3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34" w:lineRule="exact"/>
      <w:ind w:left="1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www.itmagination.com/blog/embedded-finance-architecture-and-integration-in-depth-guide" TargetMode="External"/><Relationship Id="rId11" Type="http://schemas.openxmlformats.org/officeDocument/2006/relationships/hyperlink" Target="https://www.finastra.com/sites/default/files/file/2025-02/state-of-the-nation-report-2024.pdf" TargetMode="External"/><Relationship Id="rId12" Type="http://schemas.openxmlformats.org/officeDocument/2006/relationships/hyperlink" Target="https://www.researchgate.net/publication/386492327_Data_Privacy_and_Security_in_Financial_Services" TargetMode="External"/><Relationship Id="rId13" Type="http://schemas.openxmlformats.org/officeDocument/2006/relationships/hyperlink" Target="https://incountry.com/blog/data-protection-in-the-financial-services-industry/" TargetMode="External"/><Relationship Id="rId14" Type="http://schemas.openxmlformats.org/officeDocument/2006/relationships/hyperlink" Target="https://www.researchgate.net/publication/391964064_A_Comprehensive_Analysis_of_Security_Frameworks_in_Modern_Cross-Border_Payment_Systems" TargetMode="External"/><Relationship Id="rId15" Type="http://schemas.openxmlformats.org/officeDocument/2006/relationships/hyperlink" Target="https://avato.co/best-practices-for-data-integration-patterns-in-banking-proven-strategies-for-succes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2026-02-02T02:50:01Z</dcterms:created>
  <dcterms:modified xsi:type="dcterms:W3CDTF">2026-02-02T02:50:01Z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2010</vt:lpwstr>
  </property>
  <property fmtid="{D5CDD505-2E9C-101B-9397-08002B2CF9AE}" pid="4" name="LastSaved">
    <vt:filetime>2026-02-02T00:00:00Z</vt:filetime>
  </property>
  <property fmtid="{D5CDD505-2E9C-101B-9397-08002B2CF9AE}" pid="5" name="Producer">
    <vt:lpwstr>Microsoft® Word 2010</vt:lpwstr>
  </property>
</Properties>
</file>